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pStyle w:val="39"/>
        <w:spacing w:line="580" w:lineRule="exact"/>
        <w:rPr>
          <w:rFonts w:ascii="方正小标宋_GBK" w:eastAsia="方正小标宋_GBK" w:cs="方正小标宋_GBK"/>
          <w:sz w:val="44"/>
          <w:szCs w:val="44"/>
        </w:rPr>
      </w:pPr>
      <w:bookmarkStart w:id="0" w:name="_Hlk25540369"/>
      <w:bookmarkStart w:id="1" w:name="cogw__正文__file"/>
    </w:p>
    <w:p>
      <w:pPr>
        <w:pStyle w:val="39"/>
        <w:spacing w:line="580" w:lineRule="exact"/>
        <w:jc w:val="center"/>
        <w:rPr>
          <w:rFonts w:ascii="方正小标宋_GBK" w:eastAsia="方正小标宋_GBK" w:cs="方正小标宋_GBK" w:hint="eastAsia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奉化海关2025年政府信息公开工作年度报告</w:t>
      </w:r>
      <w:bookmarkEnd w:id="0"/>
    </w:p>
    <w:p>
      <w:pPr>
        <w:pStyle w:val="39"/>
        <w:spacing w:line="580" w:lineRule="exact"/>
        <w:rPr>
          <w:rFonts w:ascii="方正小标宋_GBK" w:eastAsia="方正小标宋_GBK" w:cs="方正小标宋_GBK" w:hint="eastAsia"/>
          <w:bCs/>
          <w:sz w:val="44"/>
          <w:szCs w:val="44"/>
        </w:rPr>
      </w:pPr>
    </w:p>
    <w:p>
      <w:pPr>
        <w:pStyle w:val="76"/>
        <w:spacing w:line="560" w:lineRule="exact"/>
        <w:ind w:firstLineChars="200" w:firstLine="640"/>
        <w:rPr>
          <w:rFonts w:eastAsia="方正黑体_GBK"/>
          <w:bCs/>
          <w:kern w:val="0"/>
          <w:szCs w:val="32"/>
        </w:rPr>
      </w:pPr>
      <w:bookmarkStart w:id="2" w:name="_GoBack"/>
      <w:r>
        <w:rPr>
          <w:rFonts w:eastAsia="方正黑体_GBK"/>
          <w:bCs/>
          <w:kern w:val="0"/>
          <w:szCs w:val="32"/>
        </w:rPr>
        <w:t>一、总体情况</w:t>
      </w:r>
    </w:p>
    <w:p>
      <w:pPr>
        <w:pStyle w:val="72"/>
        <w:adjustRightInd w:val="0"/>
        <w:snapToGrid w:val="0"/>
        <w:ind w:firstLineChars="200" w:firstLine="624"/>
        <w:rPr>
          <w:szCs w:val="32"/>
        </w:rPr>
      </w:pPr>
      <w:bookmarkEnd w:id="2"/>
      <w:r>
        <w:rPr>
          <w:szCs w:val="32"/>
        </w:rPr>
        <w:t>2025年，奉化海关坚持以习近平新时代中国特色社会主义思想为指导，深入学习贯彻党的二十大和</w:t>
      </w:r>
      <w:r>
        <w:rPr>
          <w:color w:val="000000"/>
          <w:szCs w:val="32"/>
        </w:rPr>
        <w:t>二十届历次全会精神，</w:t>
      </w:r>
      <w:r>
        <w:rPr>
          <w:rFonts w:hint="eastAsia"/>
          <w:szCs w:val="32"/>
        </w:rPr>
        <w:t>根据</w:t>
      </w:r>
      <w:r>
        <w:rPr>
          <w:szCs w:val="32"/>
        </w:rPr>
        <w:t>宁波海关政府信息公开工作要求，强化组织领导，深化政务公开标准化规范化建设，以公开促规范优服务提效能，助力法治型、服务型海关建设和地方外贸高质量发展。</w:t>
      </w:r>
    </w:p>
    <w:p>
      <w:pPr>
        <w:pStyle w:val="72"/>
        <w:adjustRightInd w:val="0"/>
        <w:snapToGrid w:val="0"/>
        <w:ind w:firstLineChars="200" w:firstLine="624"/>
        <w:rPr>
          <w:rFonts w:ascii="方正楷体_GBK" w:eastAsia="方正楷体_GBK" w:cs="方正楷体_GBK" w:hint="eastAsia"/>
          <w:szCs w:val="32"/>
        </w:rPr>
      </w:pPr>
      <w:r>
        <w:rPr>
          <w:rFonts w:ascii="方正楷体_GBK" w:eastAsia="方正楷体_GBK" w:cs="方正楷体_GBK" w:hint="eastAsia"/>
          <w:szCs w:val="32"/>
        </w:rPr>
        <w:t>（一）精准推进政府信息公开。</w:t>
      </w:r>
    </w:p>
    <w:p>
      <w:pPr>
        <w:pStyle w:val="72"/>
        <w:adjustRightInd w:val="0"/>
        <w:snapToGrid w:val="0"/>
        <w:ind w:firstLineChars="200" w:firstLine="624"/>
        <w:rPr>
          <w:rFonts w:hint="eastAsia"/>
          <w:szCs w:val="32"/>
        </w:rPr>
      </w:pPr>
      <w:r>
        <w:rPr>
          <w:rFonts w:hint="eastAsia"/>
          <w:szCs w:val="32"/>
        </w:rPr>
        <w:t>严格对标上级要求，及时在</w:t>
      </w:r>
      <w:r>
        <w:rPr>
          <w:szCs w:val="32"/>
        </w:rPr>
        <w:t>宁波</w:t>
      </w:r>
      <w:r>
        <w:rPr>
          <w:rFonts w:hint="eastAsia"/>
          <w:szCs w:val="32"/>
        </w:rPr>
        <w:t>海关门户网站发布机构信息、行政执法信息、财务信息等法定公开内容，同步</w:t>
      </w:r>
      <w:r>
        <w:rPr>
          <w:szCs w:val="32"/>
        </w:rPr>
        <w:t>及时</w:t>
      </w:r>
      <w:r>
        <w:rPr>
          <w:rFonts w:hint="eastAsia"/>
          <w:szCs w:val="32"/>
        </w:rPr>
        <w:t>更新业务现场公示栏、电子显示屏信息，确保企业群众直观获取权威资讯。通过线上线下企业座谈会、实地调研走访、政策宣讲等形式，靶向解读海关新政、通报典型执法案例，主动听取</w:t>
      </w:r>
      <w:r>
        <w:rPr>
          <w:szCs w:val="32"/>
        </w:rPr>
        <w:t>辖区外贸企业</w:t>
      </w:r>
      <w:r>
        <w:rPr>
          <w:rFonts w:hint="eastAsia"/>
          <w:szCs w:val="32"/>
        </w:rPr>
        <w:t>对政务公开工作的意见建议，畅通政企沟通渠道。202</w:t>
      </w:r>
      <w:r>
        <w:rPr>
          <w:szCs w:val="32"/>
        </w:rPr>
        <w:t>5</w:t>
      </w:r>
      <w:r>
        <w:rPr>
          <w:rFonts w:hint="eastAsia"/>
          <w:szCs w:val="32"/>
        </w:rPr>
        <w:t>年，共收到政府信息公开申请</w:t>
      </w:r>
      <w:r>
        <w:rPr>
          <w:szCs w:val="32"/>
        </w:rPr>
        <w:t>1</w:t>
      </w:r>
      <w:r>
        <w:rPr>
          <w:rFonts w:hint="eastAsia"/>
          <w:szCs w:val="32"/>
        </w:rPr>
        <w:t>件，严格遵循法定时限和规范流程办结答复。</w:t>
      </w:r>
    </w:p>
    <w:p>
      <w:pPr>
        <w:pStyle w:val="72"/>
        <w:adjustRightInd w:val="0"/>
        <w:snapToGrid w:val="0"/>
        <w:ind w:firstLineChars="200" w:firstLine="624"/>
        <w:rPr>
          <w:rFonts w:ascii="方正楷体_GBK" w:eastAsia="方正楷体_GBK" w:cs="方正楷体_GBK" w:hint="eastAsia"/>
          <w:szCs w:val="32"/>
        </w:rPr>
      </w:pPr>
      <w:r>
        <w:rPr>
          <w:rFonts w:ascii="方正楷体_GBK" w:eastAsia="方正楷体_GBK" w:cs="方正楷体_GBK" w:hint="eastAsia"/>
          <w:szCs w:val="32"/>
        </w:rPr>
        <w:t>（二）全面提升咨询服务质效。</w:t>
      </w:r>
    </w:p>
    <w:p>
      <w:pPr>
        <w:pStyle w:val="72"/>
        <w:adjustRightInd w:val="0"/>
        <w:snapToGrid w:val="0"/>
        <w:ind w:firstLineChars="200" w:firstLine="624"/>
        <w:rPr>
          <w:rFonts w:hint="eastAsia"/>
          <w:szCs w:val="32"/>
        </w:rPr>
      </w:pPr>
      <w:r>
        <w:rPr>
          <w:rFonts w:hint="eastAsia"/>
          <w:szCs w:val="32"/>
        </w:rPr>
        <w:t>动态更新窗口人员信息，</w:t>
      </w:r>
      <w:r>
        <w:rPr>
          <w:szCs w:val="32"/>
        </w:rPr>
        <w:t>完善咨询电话规范化接听处置</w:t>
      </w:r>
      <w:r>
        <w:rPr>
          <w:rFonts w:hint="eastAsia"/>
          <w:szCs w:val="32"/>
        </w:rPr>
        <w:t>工作机制，健全自查与首问负责制，定期排查咨询解答与诉求处理情况，确保企业群众诉求“件件有回音、事事有着落”</w:t>
      </w:r>
      <w:r>
        <w:rPr>
          <w:szCs w:val="32"/>
        </w:rPr>
        <w:t>，</w:t>
      </w:r>
      <w:r>
        <w:rPr>
          <w:rFonts w:hint="eastAsia"/>
          <w:szCs w:val="32"/>
        </w:rPr>
        <w:t>全年接听解答业务咨询电话</w:t>
      </w:r>
      <w:r>
        <w:rPr>
          <w:szCs w:val="32"/>
        </w:rPr>
        <w:t>2</w:t>
      </w:r>
      <w:r>
        <w:rPr>
          <w:rFonts w:hint="eastAsia"/>
          <w:szCs w:val="32"/>
        </w:rPr>
        <w:t>00余个。深化“奉心”政务公开品牌建设，依托</w:t>
      </w:r>
      <w:r>
        <w:rPr>
          <w:szCs w:val="32"/>
        </w:rPr>
        <w:t>业务交流群、</w:t>
      </w:r>
      <w:r>
        <w:rPr>
          <w:rFonts w:hint="eastAsia"/>
          <w:szCs w:val="32"/>
        </w:rPr>
        <w:t>新媒体平台，结合“</w:t>
      </w:r>
      <w:r>
        <w:rPr>
          <w:szCs w:val="32"/>
        </w:rPr>
        <w:t>关长送政策上门</w:t>
      </w:r>
      <w:r>
        <w:rPr>
          <w:rFonts w:hint="eastAsia"/>
          <w:szCs w:val="32"/>
        </w:rPr>
        <w:t>”、业务窗口现场答疑等形式，以图文解读、案例分析、互动问答等方式，精准破解企业税收优惠、</w:t>
      </w:r>
      <w:r>
        <w:rPr>
          <w:szCs w:val="32"/>
        </w:rPr>
        <w:t>通关</w:t>
      </w:r>
      <w:r>
        <w:rPr>
          <w:rFonts w:hint="eastAsia"/>
          <w:szCs w:val="32"/>
        </w:rPr>
        <w:t>流程等方面的疑难问题。依托“企业之家”，构建多跨协同的业务解难矩阵，提供“一站式”集成服务，优化任务认领和问题清零机制，累计解决企业日常问题99个</w:t>
      </w:r>
      <w:r>
        <w:rPr>
          <w:szCs w:val="32"/>
        </w:rPr>
        <w:t>，</w:t>
      </w:r>
      <w:r>
        <w:rPr>
          <w:rFonts w:hint="eastAsia"/>
          <w:szCs w:val="32"/>
        </w:rPr>
        <w:t>解决企业重点问题33个</w:t>
      </w:r>
      <w:r>
        <w:rPr>
          <w:szCs w:val="32"/>
        </w:rPr>
        <w:t>。</w:t>
      </w:r>
    </w:p>
    <w:p>
      <w:pPr>
        <w:pStyle w:val="72"/>
        <w:adjustRightInd w:val="0"/>
        <w:snapToGrid w:val="0"/>
        <w:ind w:firstLineChars="200" w:firstLine="624"/>
        <w:rPr>
          <w:rFonts w:ascii="方正楷体_GBK" w:eastAsia="方正楷体_GBK" w:cs="方正楷体_GBK" w:hint="eastAsia"/>
          <w:szCs w:val="32"/>
        </w:rPr>
      </w:pPr>
      <w:r>
        <w:rPr>
          <w:rFonts w:ascii="方正楷体_GBK" w:eastAsia="方正楷体_GBK" w:cs="方正楷体_GBK" w:hint="eastAsia"/>
          <w:szCs w:val="32"/>
        </w:rPr>
        <w:t>（三）持续扩大海关工作影响力。</w:t>
      </w:r>
    </w:p>
    <w:p>
      <w:pPr>
        <w:pStyle w:val="72"/>
        <w:adjustRightInd w:val="0"/>
        <w:snapToGrid w:val="0"/>
        <w:ind w:firstLineChars="200" w:firstLine="624"/>
        <w:rPr>
          <w:szCs w:val="32"/>
        </w:rPr>
      </w:pPr>
      <w:r>
        <w:rPr>
          <w:rFonts w:hint="eastAsia"/>
          <w:szCs w:val="32"/>
        </w:rPr>
        <w:t>聚焦企业关注的RCEP</w:t>
      </w:r>
      <w:r>
        <w:rPr>
          <w:szCs w:val="32"/>
        </w:rPr>
        <w:t>享惠</w:t>
      </w:r>
      <w:r>
        <w:rPr>
          <w:rFonts w:hint="eastAsia"/>
          <w:szCs w:val="32"/>
        </w:rPr>
        <w:t>、AEO认证培育、跨境贸易便利化举措等重点内容，围绕奉化海关在守护国门生物安全、助力特色农产品出口、打击走私违法犯罪等方面的工作成效，加强与主流媒体协作，发布新闻稿件</w:t>
      </w:r>
      <w:r>
        <w:rPr>
          <w:szCs w:val="32"/>
        </w:rPr>
        <w:t>90</w:t>
      </w:r>
      <w:r>
        <w:rPr>
          <w:rFonts w:hint="eastAsia"/>
          <w:szCs w:val="32"/>
        </w:rPr>
        <w:t>余篇次。发挥“亲清直通车·企需关应”助企发展工作机制</w:t>
      </w:r>
      <w:r>
        <w:rPr>
          <w:szCs w:val="32"/>
        </w:rPr>
        <w:t>，</w:t>
      </w:r>
      <w:r>
        <w:rPr>
          <w:rFonts w:hint="eastAsia"/>
          <w:szCs w:val="32"/>
        </w:rPr>
        <w:t>与区营商办会同商务局、工商联、行业协会等部门建立“2+N”政策宣贯帮扶机制，到乡镇建立“企需点”</w:t>
      </w:r>
      <w:r>
        <w:rPr>
          <w:szCs w:val="32"/>
        </w:rPr>
        <w:t>，</w:t>
      </w:r>
      <w:r>
        <w:rPr>
          <w:rFonts w:hint="eastAsia"/>
          <w:szCs w:val="32"/>
        </w:rPr>
        <w:t>在“企业之间”建立“关应站”，实现良性互动。</w:t>
      </w:r>
    </w:p>
    <w:p>
      <w:pPr>
        <w:pStyle w:val="72"/>
        <w:adjustRightInd w:val="0"/>
        <w:snapToGrid w:val="0"/>
        <w:ind w:firstLineChars="200" w:firstLine="624"/>
        <w:rPr>
          <w:rFonts w:ascii="方正楷体_GBK" w:eastAsia="方正楷体_GBK" w:cs="方正楷体_GBK" w:hint="eastAsia"/>
          <w:szCs w:val="32"/>
        </w:rPr>
      </w:pPr>
      <w:r>
        <w:rPr>
          <w:rFonts w:ascii="方正楷体_GBK" w:eastAsia="方正楷体_GBK" w:cs="方正楷体_GBK" w:hint="eastAsia"/>
          <w:szCs w:val="32"/>
        </w:rPr>
        <w:t>（四）从严抓实公开监督保障。</w:t>
      </w:r>
    </w:p>
    <w:p>
      <w:pPr>
        <w:pStyle w:val="72"/>
        <w:adjustRightInd w:val="0"/>
        <w:snapToGrid w:val="0"/>
        <w:ind w:firstLineChars="200" w:firstLine="624"/>
        <w:rPr>
          <w:rFonts w:hint="eastAsia"/>
          <w:szCs w:val="32"/>
        </w:rPr>
      </w:pPr>
      <w:r>
        <w:rPr>
          <w:rFonts w:hint="eastAsia"/>
          <w:szCs w:val="32"/>
        </w:rPr>
        <w:t>持续加大政府信息公开全流程监督审核力度，健全完善信息公开保密审查制度，严格落实拟公开信息层层审核把关机制，做到审核有标准、流程有规范、责任有落实，确保公开内容合法合规、准确规范；组织开展政府信息公开相关政策文件集中学习，切实提升经办工作人员的专业素养和实操能力，为政府信息公开工作有序开展提供坚实保障。</w:t>
      </w:r>
    </w:p>
    <w:p>
      <w:pPr>
        <w:pStyle w:val="76"/>
        <w:spacing w:line="560" w:lineRule="exact"/>
        <w:ind w:firstLineChars="200" w:firstLine="640"/>
        <w:rPr>
          <w:rFonts w:eastAsia="方正黑体_GBK" w:hint="eastAsia"/>
          <w:bCs/>
          <w:kern w:val="0"/>
          <w:szCs w:val="32"/>
        </w:rPr>
      </w:pPr>
      <w:r>
        <w:rPr>
          <w:rFonts w:eastAsia="方正黑体_GBK" w:hint="eastAsia"/>
          <w:bCs/>
          <w:kern w:val="0"/>
          <w:szCs w:val="32"/>
        </w:rPr>
        <w:t>二、主动公开政府信息情况</w:t>
      </w:r>
    </w:p>
    <w:tbl>
      <w:tblPr>
        <w:jc w:val="center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0"/>
        <w:gridCol w:w="2183"/>
        <w:gridCol w:w="1936"/>
        <w:gridCol w:w="2156"/>
      </w:tblGrid>
      <w:tr>
        <w:trPr>
          <w:trHeight w:val="495"/>
        </w:trPr>
        <w:tc>
          <w:tcPr>
            <w:tcW w:w="89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第二十条第（一）项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</w:t>
            </w:r>
            <w:r>
              <w:rPr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本年废止件</w:t>
            </w:r>
            <w:r>
              <w:rPr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现行有效件数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435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第二十条第（五）项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2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3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/>
                <w:sz w:val="24"/>
                <w:szCs w:val="24"/>
              </w:rPr>
              <w:t>0</w:t>
            </w:r>
          </w:p>
        </w:tc>
      </w:tr>
      <w:tr>
        <w:trPr>
          <w:trHeight w:val="406"/>
        </w:trPr>
        <w:tc>
          <w:tcPr>
            <w:tcW w:w="89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第二十条第（六）项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5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/>
                <w:sz w:val="24"/>
                <w:szCs w:val="24"/>
              </w:rPr>
              <w:t>13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4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/>
                <w:sz w:val="24"/>
                <w:szCs w:val="24"/>
              </w:rPr>
              <w:t>3</w:t>
            </w:r>
          </w:p>
        </w:tc>
      </w:tr>
      <w:tr>
        <w:trPr>
          <w:trHeight w:val="474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第二十条第（八）项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本年收费金额（单位：万元）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/>
                <w:sz w:val="24"/>
                <w:szCs w:val="24"/>
              </w:rPr>
              <w:t>0</w:t>
            </w:r>
          </w:p>
        </w:tc>
      </w:tr>
    </w:tbl>
    <w:p>
      <w:pPr>
        <w:pStyle w:val="16"/>
        <w:tabs>
          <w:tab w:val="center" w:pos="4153"/>
          <w:tab w:val="right" w:pos="8306"/>
        </w:tabs>
      </w:pPr>
    </w:p>
    <w:p>
      <w:pPr>
        <w:pStyle w:val="76"/>
        <w:spacing w:line="560" w:lineRule="exact"/>
        <w:ind w:firstLineChars="200" w:firstLine="640"/>
        <w:rPr>
          <w:rFonts w:eastAsia="方正黑体_GBK" w:hint="eastAsia"/>
          <w:bCs/>
          <w:kern w:val="0"/>
          <w:szCs w:val="32"/>
        </w:rPr>
      </w:pPr>
      <w:r>
        <w:rPr>
          <w:rFonts w:eastAsia="方正黑体_GBK" w:hint="eastAsia"/>
          <w:bCs/>
          <w:kern w:val="0"/>
          <w:szCs w:val="32"/>
        </w:rPr>
        <w:t>三、收到和处理政府信息公开申请情况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>
        <w:trPr>
          <w:tblHeader/>
        </w:trP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申请人情况</w:t>
            </w:r>
          </w:p>
        </w:tc>
      </w:tr>
      <w:tr>
        <w:trPr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 w:val="restar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总计</w:t>
            </w:r>
          </w:p>
        </w:tc>
      </w:tr>
      <w:tr>
        <w:trPr>
          <w:trHeight w:val="649"/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</w:tr>
      <w:tr>
        <w:tc>
          <w:tcPr>
            <w:tcW w:w="430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8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c>
          <w:tcPr>
            <w:tcW w:w="430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8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（一）予以公开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（三）不予公开</w:t>
            </w: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1.属于国家秘密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2.其他法律行政法规禁止公开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3.危及“三安全一稳定”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4.保护第三方合法权益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5.属于三类内部事务信息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6.属于四类过程性信息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7.属于行政执法案卷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8.属于行政查询事项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1.本机关不掌握相关政府信息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2.没有现成信息需要另行制作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3.补正后申请内容仍不明确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（五）不予处理</w:t>
            </w: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1.信访举报投诉类申请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2.重复申请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3.要求提供公开出版物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rPr>
          <w:trHeight w:val="810"/>
        </w:trP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4.无正当理由大量反复申请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rPr>
          <w:trHeight w:val="852"/>
        </w:trP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26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8"/>
              <w:widowControl/>
              <w:rPr>
                <w:rFonts w:ascii="楷体" w:eastAsia="楷体" w:cs="楷体" w:hint="eastAsia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1.申请人无正当理由逾期不补正、行政机关不再处理其政府信息公开申请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28"/>
              <w:widowControl/>
              <w:rPr>
                <w:rFonts w:ascii="楷体" w:eastAsia="楷体" w:cs="楷体" w:hint="eastAsia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2.申请人逾期未按收费通知要求缴纳费用、行政机关不再处理其政府信息公开申请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28"/>
              <w:widowControl/>
              <w:rPr>
                <w:rFonts w:ascii="楷体" w:eastAsia="楷体" w:cs="楷体" w:hint="eastAsia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3.咨询事项，指引咨询渠道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28"/>
              <w:widowControl/>
              <w:rPr>
                <w:rFonts w:ascii="楷体" w:eastAsia="楷体" w:cs="楷体" w:hint="eastAsia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4.申请人撤销申请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>
        <w:tc>
          <w:tcPr>
            <w:tcW w:w="430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left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</w:tbl>
    <w:p>
      <w:pPr>
        <w:pStyle w:val="76"/>
        <w:spacing w:line="560" w:lineRule="exact"/>
        <w:ind w:firstLineChars="200" w:firstLine="640"/>
        <w:rPr>
          <w:rFonts w:eastAsia="方正黑体_GBK" w:hint="eastAsia"/>
          <w:bCs/>
          <w:kern w:val="0"/>
          <w:szCs w:val="32"/>
        </w:rPr>
      </w:pPr>
      <w:r>
        <w:rPr>
          <w:rFonts w:eastAsia="方正黑体_GBK" w:hint="eastAsia"/>
          <w:bCs/>
          <w:kern w:val="0"/>
          <w:szCs w:val="32"/>
        </w:rPr>
        <w:t>四、政府信息公开行政复议、行政诉讼情况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行政诉讼</w:t>
            </w:r>
          </w:p>
        </w:tc>
      </w:tr>
      <w:tr>
        <w:tc>
          <w:tcPr>
            <w:tcW w:w="604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4" w:type="dxa"/>
            <w:vMerge w:val="restar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复议后起诉</w:t>
            </w:r>
          </w:p>
        </w:tc>
      </w:tr>
      <w:tr>
        <w:tc>
          <w:tcPr>
            <w:tcW w:w="60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58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5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</w:tr>
      <w:tr>
        <w:trPr>
          <w:trHeight w:val="862"/>
        </w:trPr>
        <w:tc>
          <w:tcPr>
            <w:tcW w:w="6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>
      <w:pPr>
        <w:pStyle w:val="76"/>
        <w:spacing w:line="560" w:lineRule="exact"/>
        <w:ind w:firstLineChars="200" w:firstLine="640"/>
        <w:rPr>
          <w:rFonts w:eastAsia="方正黑体_GBK" w:hint="eastAsia"/>
          <w:bCs/>
          <w:kern w:val="0"/>
          <w:szCs w:val="32"/>
        </w:rPr>
      </w:pPr>
      <w:r>
        <w:rPr>
          <w:rFonts w:eastAsia="方正黑体_GBK" w:hint="eastAsia"/>
          <w:bCs/>
          <w:kern w:val="0"/>
          <w:szCs w:val="32"/>
        </w:rPr>
        <w:t>五、存在的主要问题及改进情况</w:t>
      </w:r>
    </w:p>
    <w:p>
      <w:pPr>
        <w:pStyle w:val="41"/>
        <w:adjustRightInd w:val="0"/>
        <w:snapToGrid w:val="0"/>
        <w:ind w:firstLineChars="200" w:firstLine="624"/>
        <w:rPr>
          <w:rFonts w:eastAsia="方正楷体_GBK" w:hint="eastAsia"/>
        </w:rPr>
      </w:pPr>
      <w:r>
        <w:rPr>
          <w:rFonts w:eastAsia="方正楷体_GBK" w:hint="eastAsia"/>
        </w:rPr>
        <w:t>（一）2024年年报中所提问题整改情况。</w:t>
      </w:r>
    </w:p>
    <w:p>
      <w:pPr>
        <w:pStyle w:val="41"/>
        <w:adjustRightInd w:val="0"/>
        <w:snapToGrid w:val="0"/>
        <w:ind w:firstLineChars="200" w:firstLine="624"/>
        <w:rPr>
          <w:rFonts w:hint="eastAsia"/>
        </w:rPr>
      </w:pPr>
      <w:r>
        <w:rPr>
          <w:bCs/>
        </w:rPr>
        <w:t>2024年政府</w:t>
      </w:r>
      <w:r>
        <w:rPr>
          <w:rFonts w:hint="eastAsia"/>
          <w:bCs/>
        </w:rPr>
        <w:t>信息公开工作中存在</w:t>
      </w:r>
      <w:r>
        <w:rPr>
          <w:bCs/>
        </w:rPr>
        <w:t>的问题有：</w:t>
      </w:r>
      <w:r>
        <w:rPr>
          <w:rFonts w:hint="eastAsia"/>
        </w:rPr>
        <w:t>政务公开队伍建设有待加强，相关人员的意识和业务能力仍需进一步提升</w:t>
      </w:r>
      <w:r>
        <w:t>；</w:t>
      </w:r>
      <w:r>
        <w:rPr>
          <w:rFonts w:hint="eastAsia"/>
        </w:rPr>
        <w:t>主动公开的精准性有待提高</w:t>
      </w:r>
      <w:r>
        <w:t>。2025年，奉化海关采取以下措施进行整改：一是</w:t>
      </w:r>
      <w:r>
        <w:rPr>
          <w:rFonts w:hint="eastAsia"/>
        </w:rPr>
        <w:t>强化政务公开队伍建设。明确岗位职责与分工，定期开展海关领域政务公开政策法规、业务流程培训，通过以学促干、以干践学，全面提升工作人员的政务公开责任意识与实操能力。</w:t>
      </w:r>
      <w:r>
        <w:t>二是</w:t>
      </w:r>
      <w:r>
        <w:rPr>
          <w:rFonts w:hint="eastAsia"/>
        </w:rPr>
        <w:t>提升主动公开精准性。建立公开内容前置审核机制，由业务科室与办公室联合把关，重点核查政策解读的准确性、数据信息的真实性、公开内容的针对性，杜绝应公开未公开、选择性公开、公开内容不规范等问题。</w:t>
      </w:r>
      <w:r>
        <w:t>三是</w:t>
      </w:r>
      <w:r>
        <w:rPr>
          <w:rFonts w:hint="eastAsia"/>
        </w:rPr>
        <w:t>健全长效管理机制。建立常态化自查自纠机制，定期对主动公开内容进行“回头看”，及时整改发现的问题。</w:t>
      </w:r>
    </w:p>
    <w:p>
      <w:pPr>
        <w:pStyle w:val="41"/>
        <w:adjustRightInd w:val="0"/>
        <w:snapToGrid w:val="0"/>
        <w:ind w:firstLineChars="200" w:firstLine="624"/>
        <w:rPr>
          <w:rFonts w:eastAsia="方正楷体_GBK" w:hint="eastAsia"/>
          <w:bCs/>
        </w:rPr>
      </w:pPr>
      <w:r>
        <w:rPr>
          <w:rFonts w:eastAsia="方正楷体_GBK" w:hint="eastAsia"/>
          <w:bCs/>
        </w:rPr>
        <w:t>（二）目前存在问题。</w:t>
      </w:r>
    </w:p>
    <w:p>
      <w:pPr>
        <w:pStyle w:val="34"/>
        <w:adjustRightInd w:val="0"/>
        <w:snapToGrid w:val="0"/>
        <w:ind w:firstLineChars="200" w:firstLine="624"/>
      </w:pPr>
      <w:r>
        <w:t>牵头科室与业务科室协作沟通机制还需要进一步加强，相关科室对政务公开工作重视程度还需要进一步提升。</w:t>
      </w:r>
    </w:p>
    <w:p>
      <w:pPr>
        <w:pStyle w:val="76"/>
        <w:spacing w:line="560" w:lineRule="exact"/>
        <w:ind w:firstLineChars="200" w:firstLine="640"/>
        <w:rPr>
          <w:rFonts w:eastAsia="方正黑体_GBK" w:hint="eastAsia"/>
          <w:bCs/>
          <w:kern w:val="0"/>
          <w:szCs w:val="32"/>
        </w:rPr>
      </w:pPr>
      <w:r>
        <w:rPr>
          <w:rFonts w:eastAsia="方正黑体_GBK" w:hint="eastAsia"/>
          <w:bCs/>
          <w:kern w:val="0"/>
          <w:szCs w:val="32"/>
        </w:rPr>
        <w:t>六、其他需要报告的事项</w:t>
      </w:r>
      <w:bookmarkEnd w:id="1"/>
    </w:p>
    <w:p>
      <w:pPr>
        <w:pStyle w:val="40"/>
        <w:adjustRightInd w:val="0"/>
        <w:snapToGrid w:val="0"/>
        <w:ind w:firstLineChars="200" w:firstLine="624"/>
      </w:pPr>
      <w:r>
        <w:t>我关2025年无收取信息处理费情况。</w:t>
      </w:r>
    </w:p>
    <w:sectPr>
      <w:footerReference w:type="default" r:id="rId2"/>
      <w:footerReference w:type="even" r:id="rId3"/>
      <w:footerReference w:type="first" r:id="rId4"/>
      <w:pgSz w:w="11906" w:h="16838"/>
      <w:pgMar w:top="2098" w:right="1474" w:bottom="1985" w:left="1588" w:header="851" w:footer="992" w:gutter="0"/>
      <w:pgNumType w:fmt="numberInDash" w:start="1"/>
      <w:cols w:num="1" w:space="720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华文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楷体">
    <w:altName w:val="方正楷体_GBK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黑体">
    <w:altName w:val="华文细黑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6"/>
      <w:framePr w:w="0" w:hRule="auto" w:wrap="around" w:vAnchor="text" w:hAnchor="margin" w:xAlign="outside" w:y="1" w:anchorLock="0"/>
      <w:tabs>
        <w:tab w:val="center" w:pos="4153"/>
        <w:tab w:val="right" w:pos="8306"/>
      </w:tabs>
    </w:pPr>
    <w:r>
      <w:rPr>
        <w:rStyle w:val="17"/>
      </w:rPr>
      <w:fldChar w:fldCharType="begin"/>
    </w:r>
    <w:r>
      <w:rPr>
        <w:rStyle w:val="17"/>
      </w:rPr>
      <w:instrText>Page</w:instrText>
    </w:r>
    <w:r>
      <w:rPr>
        <w:rStyle w:val="17"/>
      </w:rPr>
      <w:fldChar w:fldCharType="separate"/>
    </w:r>
    <w:r>
      <w:rPr>
        <w:rStyle w:val="17"/>
      </w:rPr>
      <w:t>- 5 -</w:t>
    </w:r>
    <w:r>
      <w:rPr>
        <w:rStyle w:val="17"/>
      </w:rPr>
      <w:fldChar w:fldCharType="end"/>
    </w:r>
  </w:p>
  <w:p>
    <w:pPr>
      <w:pStyle w:val="16"/>
      <w:tabs>
        <w:tab w:val="center" w:pos="4153"/>
        <w:tab w:val="right" w:pos="8306"/>
      </w:tabs>
      <w:ind w:right="360" w:firstLine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6"/>
      <w:framePr w:w="0" w:hRule="auto" w:wrap="around" w:vAnchor="text" w:hAnchor="margin" w:xAlign="outside" w:y="1" w:anchorLock="0"/>
      <w:tabs>
        <w:tab w:val="center" w:pos="4153"/>
        <w:tab w:val="right" w:pos="8306"/>
      </w:tabs>
    </w:pPr>
    <w:r>
      <w:rPr>
        <w:rStyle w:val="17"/>
      </w:rPr>
      <w:fldChar w:fldCharType="begin"/>
    </w:r>
    <w:r>
      <w:rPr>
        <w:rStyle w:val="17"/>
      </w:rPr>
      <w:instrText>Page</w:instrText>
    </w:r>
    <w:r>
      <w:rPr>
        <w:rStyle w:val="17"/>
      </w:rPr>
      <w:fldChar w:fldCharType="separate"/>
    </w:r>
    <w:r>
      <w:rPr>
        <w:rStyle w:val="17"/>
      </w:rPr>
      <w:t>- 6 -</w:t>
    </w:r>
    <w:r>
      <w:rPr>
        <w:rStyle w:val="17"/>
      </w:rPr>
      <w:fldChar w:fldCharType="end"/>
    </w:r>
  </w:p>
  <w:p>
    <w:pPr>
      <w:pStyle w:val="16"/>
      <w:tabs>
        <w:tab w:val="center" w:pos="4153"/>
        <w:tab w:val="right" w:pos="8306"/>
      </w:tabs>
      <w:ind w:right="360" w:firstLine="360"/>
    </w:pP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6"/>
      <w:tabs>
        <w:tab w:val="center" w:pos="4153"/>
        <w:tab w:val="right" w:pos="8306"/>
      </w:tabs>
      <w:jc w:val="right"/>
    </w:pP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NumPages</w:instrText>
    </w:r>
    <w:r>
      <w:fldChar w:fldCharType="separate"/>
    </w:r>
    <w:r>
      <w:t>2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</w:p>
  <w:p>
    <w:pPr>
      <w:pStyle w:val="16"/>
      <w:tabs>
        <w:tab w:val="center" w:pos="4153"/>
        <w:tab w:val="right" w:pos="8306"/>
      </w:tabs>
    </w:pP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0947CEFD"/>
    <w:multiLevelType w:val="singleLevel"/>
    <w:tmpl w:val="A8788852"/>
    <w:lvl w:ilvl="0">
      <w:start w:val="1"/>
      <w:numFmt w:val="decimal"/>
      <w:lvlRestart w:val="0"/>
      <w:pStyle w:val="52"/>
      <w:lvlText w:val="%1."/>
      <w:lvlJc w:val="left"/>
      <w:pPr>
        <w:tabs>
          <w:tab w:val="num" w:pos="780"/>
        </w:tabs>
        <w:ind w:left="780" w:hanging="36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20"/>
  <w:doNotDisplayPageBoundaries/>
  <w:bordersDoNotSurroundHeader/>
  <w:bordersDoNotSurroundFooter/>
  <w:defaultTabStop w:val="420"/>
  <w:evenAndOddHeaders/>
  <w:drawingGridHorizontalSpacing w:val="160"/>
  <w:drawingGridVerticalSpacing w:val="435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eastAsia="黑体"/>
      <w:b/>
      <w:bCs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Cs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17">
    <w:name w:val="page number"/>
    <w:basedOn w:val="10"/>
  </w:style>
  <w:style w:type="paragraph" w:customStyle="1" w:styleId="18">
    <w:name w:val="样式 三号"/>
    <w:next w:val="27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styleId="19">
    <w:name w:val="index 5"/>
    <w:basedOn w:val="0"/>
    <w:autoRedefine/>
    <w:next w:val="0"/>
    <w:pPr>
      <w:ind w:left="1680"/>
    </w:pPr>
  </w:style>
  <w:style w:type="paragraph" w:styleId="20">
    <w:name w:val="index 6"/>
    <w:basedOn w:val="0"/>
    <w:autoRedefine/>
    <w:next w:val="0"/>
    <w:pPr>
      <w:ind w:left="2100"/>
    </w:pPr>
  </w:style>
  <w:style w:type="paragraph" w:styleId="21">
    <w:name w:val="index 7"/>
    <w:basedOn w:val="0"/>
    <w:autoRedefine/>
    <w:next w:val="0"/>
    <w:pPr>
      <w:ind w:left="2520"/>
    </w:pPr>
  </w:style>
  <w:style w:type="paragraph" w:styleId="22">
    <w:name w:val="index 8"/>
    <w:basedOn w:val="0"/>
    <w:autoRedefine/>
    <w:next w:val="0"/>
    <w:pPr>
      <w:ind w:left="2940"/>
    </w:pPr>
  </w:style>
  <w:style w:type="paragraph" w:styleId="23">
    <w:name w:val="toc 1"/>
    <w:basedOn w:val="0"/>
    <w:autoRedefine/>
    <w:next w:val="0"/>
  </w:style>
  <w:style w:type="paragraph" w:styleId="24">
    <w:name w:val="toc 2"/>
    <w:basedOn w:val="0"/>
    <w:autoRedefine/>
    <w:next w:val="0"/>
    <w:pPr>
      <w:ind w:left="420"/>
    </w:pPr>
  </w:style>
  <w:style w:type="paragraph" w:styleId="25">
    <w:name w:val="Normal (Web)"/>
    <w:next w:val="16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26">
    <w:name w:val="样式 1 三号"/>
    <w:next w:val="23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2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28">
    <w:name w:val="样式 小三"/>
    <w:next w:val="2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9">
    <w:name w:val="样式 1 小四"/>
    <w:next w:val="0"/>
    <w:pPr>
      <w:widowControl w:val="0"/>
    </w:pPr>
    <w:rPr>
      <w:rFonts w:ascii="宋体" w:eastAsia="宋体" w:cs="Times New Roman" w:hAnsi="Times New Roman"/>
      <w:kern w:val="2"/>
      <w:sz w:val="24"/>
      <w:szCs w:val="20"/>
      <w:lang w:val="en-US" w:eastAsia="zh-CN" w:bidi="ar-SA"/>
    </w:rPr>
  </w:style>
  <w:style w:type="paragraph" w:customStyle="1" w:styleId="30">
    <w:name w:val="样式 6 小四"/>
    <w:next w:val="0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31">
    <w:name w:val="样式 20 小四"/>
    <w:next w:val="19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32">
    <w:name w:val="样式 1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33">
    <w:name w:val="样式 50 三号"/>
    <w:next w:val="20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34">
    <w:name w:val="样式 13 三号"/>
    <w:next w:val="21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35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36">
    <w:name w:val="样式 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37">
    <w:name w:val="样式 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38">
    <w:name w:val="样式 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39">
    <w:name w:val="样式 6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40">
    <w:name w:val="样式 7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41">
    <w:name w:val="样式 8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42">
    <w:name w:val="样式 小四"/>
    <w:pPr>
      <w:widowControl w:val="0"/>
    </w:pPr>
    <w:rPr>
      <w:rFonts w:ascii="宋体" w:eastAsia="宋体" w:cs="Times New Roman" w:hAnsi="Times New Roman"/>
      <w:kern w:val="2"/>
      <w:sz w:val="24"/>
      <w:szCs w:val="20"/>
      <w:lang w:val="en-US" w:eastAsia="zh-CN" w:bidi="ar-SA"/>
    </w:rPr>
  </w:style>
  <w:style w:type="paragraph" w:customStyle="1" w:styleId="43">
    <w:name w:val="样式 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4">
    <w:name w:val="样式 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5">
    <w:name w:val="样式 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6">
    <w:name w:val="样式 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7">
    <w:name w:val="样式 9 三号"/>
    <w:pPr>
      <w:widowControl w:val="0"/>
      <w:ind w:left="42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48">
    <w:name w:val="样式 2 小四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49">
    <w:name w:val="样式 10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50">
    <w:name w:val="样式 3 小四"/>
    <w:pPr>
      <w:widowControl w:val="0"/>
    </w:pPr>
    <w:rPr>
      <w:rFonts w:ascii="宋体" w:eastAsia="宋体" w:cs="Times New Roman" w:hAnsi="Times New Roman"/>
      <w:kern w:val="2"/>
      <w:sz w:val="24"/>
      <w:szCs w:val="20"/>
      <w:lang w:val="en-US" w:eastAsia="zh-CN" w:bidi="ar-SA"/>
    </w:rPr>
  </w:style>
  <w:style w:type="paragraph" w:styleId="51">
    <w:name w:val="List Number 2"/>
    <w:basedOn w:val="0"/>
    <w:pPr>
      <w:numPr>
        <w:ilvl w:val="0"/>
        <w:numId w:val="1"/>
      </w:numPr>
    </w:pPr>
  </w:style>
  <w:style w:type="paragraph" w:customStyle="1" w:styleId="52">
    <w:name w:val="样式 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3">
    <w:name w:val="样式 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4">
    <w:name w:val="样式 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5">
    <w:name w:val="样式 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6">
    <w:name w:val="样式 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7">
    <w:name w:val="样式 1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8">
    <w:name w:val="样式 1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9">
    <w:name w:val="样式 1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0">
    <w:name w:val="样式 1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1">
    <w:name w:val="样式 1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2">
    <w:name w:val="样式 1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3">
    <w:name w:val="样式 1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4">
    <w:name w:val="样式 1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5">
    <w:name w:val="样式 1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6">
    <w:name w:val="样式 1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7">
    <w:name w:val="样式 2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styleId="68">
    <w:name w:val="toc 3"/>
    <w:basedOn w:val="0"/>
    <w:autoRedefine/>
    <w:next w:val="0"/>
    <w:pPr>
      <w:ind w:left="840"/>
    </w:pPr>
  </w:style>
  <w:style w:type="paragraph" w:customStyle="1" w:styleId="69">
    <w:name w:val="正文文字 6"/>
    <w:basedOn w:val="0"/>
    <w:autoRedefine/>
    <w:next w:val="0"/>
    <w:pPr>
      <w:ind w:left="240"/>
    </w:pPr>
    <w:rPr>
      <w:sz w:val="20"/>
      <w:szCs w:val="20"/>
    </w:rPr>
  </w:style>
  <w:style w:type="paragraph" w:customStyle="1" w:styleId="70">
    <w:name w:val="样式 1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71">
    <w:name w:val="样式 4 小四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72">
    <w:name w:val="样式 14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73">
    <w:name w:val="样式 437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74">
    <w:name w:val="样式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75">
    <w:name w:val="样式 小五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76">
    <w:name w:val="样式 15 三号"/>
    <w:next w:val="183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77">
    <w:name w:val="样式 2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8">
    <w:name w:val="样式 2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9">
    <w:name w:val="样式 2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0">
    <w:name w:val="样式 2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1">
    <w:name w:val="样式 2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2">
    <w:name w:val="样式 2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3">
    <w:name w:val="样式 2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4">
    <w:name w:val="样式 2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5">
    <w:name w:val="样式 2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6">
    <w:name w:val="样式 3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7">
    <w:name w:val="样式 3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8">
    <w:name w:val="样式 3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9">
    <w:name w:val="样式 3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0">
    <w:name w:val="样式 3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1">
    <w:name w:val="样式 3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2">
    <w:name w:val="样式 3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3">
    <w:name w:val="样式 3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4">
    <w:name w:val="样式 3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5">
    <w:name w:val="样式 3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6">
    <w:name w:val="样式 4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7">
    <w:name w:val="样式 4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8">
    <w:name w:val="样式 4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9">
    <w:name w:val="样式 4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0">
    <w:name w:val="样式 4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1">
    <w:name w:val="样式 4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2">
    <w:name w:val="样式 4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3">
    <w:name w:val="样式 4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4">
    <w:name w:val="样式 4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5">
    <w:name w:val="样式 4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6">
    <w:name w:val="样式 5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7">
    <w:name w:val="样式 5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8">
    <w:name w:val="样式 5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9">
    <w:name w:val="样式 5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0">
    <w:name w:val="样式 5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1">
    <w:name w:val="样式 5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2">
    <w:name w:val="样式 5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3">
    <w:name w:val="样式 5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4">
    <w:name w:val="样式 5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5">
    <w:name w:val="样式 5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6">
    <w:name w:val="样式 6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7">
    <w:name w:val="样式 6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8">
    <w:name w:val="样式 6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9">
    <w:name w:val="样式 6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0">
    <w:name w:val="样式 6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1">
    <w:name w:val="样式 6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2">
    <w:name w:val="样式 6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3">
    <w:name w:val="样式 6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4">
    <w:name w:val="样式 6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5">
    <w:name w:val="样式 6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6">
    <w:name w:val="样式 7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7">
    <w:name w:val="样式 7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8">
    <w:name w:val="样式 7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9">
    <w:name w:val="样式 7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0">
    <w:name w:val="样式 7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1">
    <w:name w:val="样式 7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2">
    <w:name w:val="样式 7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3">
    <w:name w:val="样式 7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4">
    <w:name w:val="样式 7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5">
    <w:name w:val="样式 7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6">
    <w:name w:val="样式 8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7">
    <w:name w:val="样式 8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8">
    <w:name w:val="样式 8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9">
    <w:name w:val="样式 8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0">
    <w:name w:val="样式 8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1">
    <w:name w:val="样式 8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2">
    <w:name w:val="样式 8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3">
    <w:name w:val="样式 8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4">
    <w:name w:val="样式 8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5">
    <w:name w:val="样式 8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6">
    <w:name w:val="样式 9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7">
    <w:name w:val="样式 9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8">
    <w:name w:val="样式 9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9">
    <w:name w:val="样式 9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0">
    <w:name w:val="样式 9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1">
    <w:name w:val="样式 9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2">
    <w:name w:val="样式 9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3">
    <w:name w:val="样式 9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4">
    <w:name w:val="样式 9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5">
    <w:name w:val="样式 9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6">
    <w:name w:val="样式 10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7">
    <w:name w:val="样式 10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8">
    <w:name w:val="样式 10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9">
    <w:name w:val="样式 10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0">
    <w:name w:val="样式 10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1">
    <w:name w:val="样式 10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2">
    <w:name w:val="样式 10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3">
    <w:name w:val="样式 10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4">
    <w:name w:val="样式 10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5">
    <w:name w:val="样式 10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6">
    <w:name w:val="样式 11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7">
    <w:name w:val="样式 11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8">
    <w:name w:val="样式 11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9">
    <w:name w:val="样式 11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0">
    <w:name w:val="样式 11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1">
    <w:name w:val="样式 11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2">
    <w:name w:val="样式 11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3">
    <w:name w:val="样式 11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4">
    <w:name w:val="样式 11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5">
    <w:name w:val="样式 11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6">
    <w:name w:val="样式 12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7">
    <w:name w:val="样式 12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8">
    <w:name w:val="样式 12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9">
    <w:name w:val="样式 12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0">
    <w:name w:val="样式 12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1">
    <w:name w:val="样式 12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2">
    <w:name w:val="样式 12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3">
    <w:name w:val="样式 12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4">
    <w:name w:val="样式 12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5">
    <w:name w:val="样式 12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6">
    <w:name w:val="样式 13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7">
    <w:name w:val="样式 13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8">
    <w:name w:val="样式 13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9">
    <w:name w:val="样式 13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0">
    <w:name w:val="样式 13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1">
    <w:name w:val="样式 13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2">
    <w:name w:val="样式 13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3">
    <w:name w:val="样式 13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4">
    <w:name w:val="样式 13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5">
    <w:name w:val="样式 13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6">
    <w:name w:val="样式 14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7">
    <w:name w:val="样式 14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8">
    <w:name w:val="样式 14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9">
    <w:name w:val="样式 14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0">
    <w:name w:val="样式 14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1">
    <w:name w:val="样式 14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2">
    <w:name w:val="样式 14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3">
    <w:name w:val="样式 14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4">
    <w:name w:val="样式 14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5">
    <w:name w:val="样式 14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6">
    <w:name w:val="样式 15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7">
    <w:name w:val="样式 15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8">
    <w:name w:val="样式 15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9">
    <w:name w:val="样式 15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0">
    <w:name w:val="样式 15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1">
    <w:name w:val="样式 15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2">
    <w:name w:val="样式 15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3">
    <w:name w:val="样式 15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4">
    <w:name w:val="样式 15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5">
    <w:name w:val="样式 15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6">
    <w:name w:val="样式 16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7">
    <w:name w:val="样式 16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8">
    <w:name w:val="样式 16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9">
    <w:name w:val="样式 16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0">
    <w:name w:val="样式 16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1">
    <w:name w:val="样式 16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2">
    <w:name w:val="样式 16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3">
    <w:name w:val="样式 16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4">
    <w:name w:val="样式 16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5">
    <w:name w:val="样式 16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6">
    <w:name w:val="样式 17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7">
    <w:name w:val="样式 17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8">
    <w:name w:val="样式 17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9">
    <w:name w:val="样式 17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0">
    <w:name w:val="样式 17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1">
    <w:name w:val="样式 17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2">
    <w:name w:val="样式 17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3">
    <w:name w:val="样式 17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4">
    <w:name w:val="样式 17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5">
    <w:name w:val="样式 17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6">
    <w:name w:val="样式 18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7">
    <w:name w:val="样式 18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8">
    <w:name w:val="样式 18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9">
    <w:name w:val="样式 18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0">
    <w:name w:val="样式 16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241">
    <w:name w:val="样式 1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42">
    <w:name w:val="样式 1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43">
    <w:name w:val="样式 1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44">
    <w:name w:val="样式 2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styleId="245">
    <w:name w:val="annotation text"/>
    <w:basedOn w:val="0"/>
    <w:next w:val="0"/>
    <w:pPr>
      <w:jc w:val="left"/>
    </w:pPr>
  </w:style>
  <w:style w:type="paragraph" w:styleId="246">
    <w:name w:val="annotation subject"/>
    <w:basedOn w:val="245"/>
    <w:next w:val="245"/>
    <w:rPr>
      <w:b/>
      <w:bCs/>
    </w:rPr>
  </w:style>
  <w:style w:type="paragraph" w:customStyle="1" w:styleId="247">
    <w:name w:val="样式 2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248">
    <w:name w:val="样式 2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249">
    <w:name w:val="样式 2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250">
    <w:name w:val="样式 24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styleId="251">
    <w:name w:val="Balloon Text"/>
    <w:basedOn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31AFCFCD-A525-44DD-9864-F9DFC6860C2B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20</TotalTime>
  <Application>Yozo_Office27021597764231179</Application>
  <Pages>6</Pages>
  <Words>0</Words>
  <Characters>2066</Characters>
  <Lines>0</Lines>
  <Paragraphs>27</Paragraphs>
  <CharactersWithSpaces>2755</CharactersWithSpaces>
  <Company>ccic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吕大良</dc:creator>
  <cp:lastModifiedBy>user</cp:lastModifiedBy>
  <cp:revision>2</cp:revision>
  <cp:lastPrinted>2020-01-22T00:43:00Z</cp:lastPrinted>
  <dcterms:created xsi:type="dcterms:W3CDTF">2026-01-26T03:57:00Z</dcterms:created>
  <dcterms:modified xsi:type="dcterms:W3CDTF">2026-01-29T09:16:17Z</dcterms:modified>
</cp:coreProperties>
</file>