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9"/>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慈溪海关2023年政府信息公开工作年度报告</w:t>
      </w:r>
      <w:bookmarkEnd w:id="0"/>
    </w:p>
    <w:p>
      <w:pPr>
        <w:pStyle w:val="25"/>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pPr>
        <w:pStyle w:val="29"/>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慈溪海关深入学习贯彻习近平总书记给红其拉甫海关全体关员重要回信精神和习近平总书记对新时代办公厅工作的重要指示精神，积极参与宁波海关首批政务公开标准化规范化建设试点工作，坚持依法合规、精准施策、利企便民、改革创新的原则，创建政务公开“一米阳光”特色品牌，让政府信息暴露在阳光下，保障人民群众的知情权和监督权，打通关企沟通“最后一米”，让政务公开有温度、更透明。</w:t>
      </w:r>
    </w:p>
    <w:p>
      <w:pPr>
        <w:pStyle w:val="29"/>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持续完善主动公开机制，推进基层政务公开标准化规范化工作。通过宁波海关门户网站、现场公示栏、电子显示屏、咨询服务窗口等线上线下平台主动公开相关政府信息，方便企业群众办事咨询，扩大信息公开的范围和影响力。2023年共计主动公开慈溪海关财务信息4项，行政执法信息等10余项，受理并办结依申请公开信息事项1件，接受并答复企业咨询2090余次。</w:t>
      </w:r>
    </w:p>
    <w:p>
      <w:pPr>
        <w:pStyle w:val="29"/>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将政务公开与助企纾困相结合，推进政务服务提质增效。以慈溪海关“慈关心”企业服务平台为载体，保持与企业的时时沟通，将政务公开作为助企纾困举措的一部分，落实“暖心、贴心、精心、恒心”的服务举措，营造“关企同心、共促发展”的良好氛围。2023年累计走访调研企业65家，协调相关职能科室解决企业难题40余个，收到企业锦旗8面，组织召开政策宣讲会6次，195人次参加。</w:t>
      </w:r>
    </w:p>
    <w:p>
      <w:pPr>
        <w:pStyle w:val="29"/>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将政务公开与风险防范相结合，将矛盾化解在源头。结合“枫桥经验示范点”创建工作，成立“和‘枫’溪语”工作室，以“走进企业问需求，服务企业解难题”为目标完善企业服务体系，运用问题收集和快速反应机制，确保企业问题“件件有着落，事事有回音”，一体推进普法、咨询、信访，从源头筑牢矛盾化解“第一道防线”。</w:t>
      </w:r>
    </w:p>
    <w:p>
      <w:pPr>
        <w:pStyle w:val="33"/>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jc w:val="center"/>
              <w:rPr>
                <w:rFonts w:eastAsia="方正仿宋_GBK" w:cs="宋体"/>
                <w:sz w:val="24"/>
                <w:szCs w:val="24"/>
              </w:rPr>
            </w:pPr>
            <w:r>
              <w:rPr>
                <w:rFonts w:eastAsia="方正仿宋_GBK" w:cs="宋体" w:hint="eastAsia"/>
                <w:sz w:val="24"/>
                <w:szCs w:val="24"/>
              </w:rPr>
              <w:t>0</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20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jc w:val="center"/>
              <w:rPr>
                <w:rFonts w:eastAsia="方正仿宋_GBK" w:cs="宋体"/>
                <w:sz w:val="24"/>
                <w:szCs w:val="24"/>
              </w:rPr>
            </w:pPr>
            <w:r>
              <w:rPr>
                <w:rFonts w:eastAsia="方正仿宋_GBK" w:cs="宋体" w:hint="eastAsia"/>
                <w:sz w:val="24"/>
                <w:szCs w:val="24"/>
              </w:rPr>
              <w:t>16</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bl>
    <w:p>
      <w:pPr>
        <w:pStyle w:val="25"/>
        <w:widowControl/>
        <w:shd w:val="clear" w:color="auto" w:fill="FFFFFF"/>
        <w:spacing w:beforeLines="50" w:before="218"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41"/>
        <w:adjustRightInd w:val="0"/>
        <w:snapToGrid w:val="0"/>
        <w:ind w:firstLineChars="200" w:firstLine="624"/>
        <w:rPr>
          <w:rFonts w:ascii="方正楷体_GBK" w:eastAsia="方正楷体_GBK"/>
          <w:b/>
          <w:bCs/>
        </w:rPr>
      </w:pPr>
      <w:r>
        <w:rPr>
          <w:rFonts w:ascii="方正楷体_GBK" w:eastAsia="方正楷体_GBK" w:hint="eastAsia"/>
          <w:b/>
          <w:bCs/>
        </w:rPr>
        <w:t>（一）2022年年报中所提问题整改情况。</w:t>
      </w:r>
    </w:p>
    <w:p>
      <w:pPr>
        <w:pStyle w:val="41"/>
        <w:adjustRightInd w:val="0"/>
        <w:snapToGrid w:val="0"/>
        <w:ind w:firstLineChars="200" w:firstLine="624"/>
      </w:pPr>
      <w:r>
        <w:rPr>
          <w:rFonts w:hint="eastAsia"/>
        </w:rPr>
        <w:t>针对需要以更亲民更实用更快速的形式实现政府信息公开，让公众能从更多渠道获悉政府信息的问题，</w:t>
      </w:r>
      <w:r>
        <w:rPr>
          <w:rFonts w:hint="eastAsia"/>
          <w:szCs w:val="32"/>
        </w:rPr>
        <w:t>慈溪海关建立了“慈关心”企业服务平台，</w:t>
      </w:r>
      <w:r>
        <w:rPr>
          <w:rFonts w:ascii="方正仿宋_GBK" w:hint="eastAsia"/>
          <w:color w:val="000000"/>
          <w:szCs w:val="32"/>
        </w:rPr>
        <w:t>为企业进行政策宣贯和业务培训，更好地畅通关企互通渠道，</w:t>
      </w:r>
      <w:r>
        <w:rPr>
          <w:rFonts w:hint="eastAsia"/>
          <w:szCs w:val="32"/>
        </w:rPr>
        <w:t>在窗口服务、外勤执法、走访调研等过程中因地制宜送政策上门，帮助企业更好分享政策红利。</w:t>
      </w:r>
    </w:p>
    <w:p>
      <w:pPr>
        <w:pStyle w:val="34"/>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34"/>
        <w:adjustRightInd w:val="0"/>
        <w:snapToGrid w:val="0"/>
        <w:ind w:firstLineChars="200" w:firstLine="624"/>
      </w:pPr>
      <w:r>
        <w:rPr>
          <w:rFonts w:hint="eastAsia"/>
        </w:rPr>
        <w:t>政府信息公开工作专</w:t>
      </w:r>
      <w:bookmarkStart w:id="2" w:name="_GoBack"/>
      <w:bookmarkEnd w:id="2"/>
      <w:r>
        <w:rPr>
          <w:rFonts w:hint="eastAsia"/>
        </w:rPr>
        <w:t>业性较强，工作人员业务能力有待进一步加强</w:t>
      </w:r>
      <w:r>
        <w:t>。</w:t>
      </w:r>
    </w:p>
    <w:p>
      <w:pPr>
        <w:pStyle w:val="25"/>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34"/>
        <w:adjustRightInd w:val="0"/>
        <w:snapToGrid w:val="0"/>
        <w:ind w:firstLineChars="200" w:firstLine="624"/>
        <w:rPr>
          <w:rStyle w:val="0"/>
          <w:rFonts w:hint="eastAsia"/>
        </w:rPr>
      </w:pPr>
      <w:r>
        <w:rPr>
          <w:rStyle w:val="0"/>
          <w:rFonts w:hint="eastAsia"/>
        </w:rPr>
        <w:t>我关2023年无收取信息处理费情况。</w:t>
      </w:r>
    </w:p>
    <w:p>
      <w:pPr>
        <w:pStyle w:val="16"/>
        <w:tabs>
          <w:tab w:val="center" w:pos="4153"/>
          <w:tab w:val="right" w:pos="8306"/>
        </w:tabs>
      </w:pPr>
    </w:p>
    <w:sectPr>
      <w:footerReference w:type="default" r:id="rId2"/>
      <w:footerReference w:type="even" r:id="rId3"/>
      <w:footerReference w:type="first" r:id="rId4"/>
      <w:pgSz w:w="11906" w:h="16838"/>
      <w:pgMar w:top="2098" w:right="1474" w:bottom="1985" w:left="1588" w:header="851" w:footer="992" w:gutter="0"/>
      <w:pgNumType w:fmt="numberInDash" w:start="1"/>
      <w:cols w:num="1" w:space="72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方正楷体_GBK"/>
    <w:panose1 w:val="00000000000000000000"/>
    <w:charset w:val="86"/>
    <w:family w:val="modern"/>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华文细黑"/>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- 5 -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- 4 -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7F25542"/>
    <w:multiLevelType w:val="singleLevel"/>
    <w:tmpl w:val="363C0CC0"/>
    <w:lvl w:ilvl="0">
      <w:start w:val="1"/>
      <w:numFmt w:val="decimal"/>
      <w:lvlRestart w:val="0"/>
      <w:pStyle w:val="51"/>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hAnsi="Times New Roman"/>
      <w:kern w:val="2"/>
      <w:sz w:val="24"/>
      <w:szCs w:val="20"/>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widowControl w:val="0"/>
    </w:pPr>
    <w:rPr>
      <w:rFonts w:ascii="宋体" w:eastAsia="宋体" w:cs="Times New Roman" w:hAnsi="Times New Roman"/>
      <w:kern w:val="2"/>
      <w:sz w:val="24"/>
      <w:szCs w:val="20"/>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widowControl w:val="0"/>
    </w:pPr>
    <w:rPr>
      <w:rFonts w:ascii="宋体" w:eastAsia="宋体" w:cs="Times New Roman" w:hAnsi="Times New Roman"/>
      <w:kern w:val="2"/>
      <w:sz w:val="24"/>
      <w:szCs w:val="20"/>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5BD80736-EF41-424D-9871-FB350ABE9C1E}">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84</TotalTime>
  <Application>Yozo_Office27021597764231179</Application>
  <Pages>5</Pages>
  <Words>0</Words>
  <Characters>1673</Characters>
  <Lines>0</Lines>
  <Paragraphs>22</Paragraphs>
  <CharactersWithSpaces>2231</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meihao</cp:lastModifiedBy>
  <cp:revision>19</cp:revision>
  <cp:lastPrinted>2020-01-22T00:43:00Z</cp:lastPrinted>
  <dcterms:created xsi:type="dcterms:W3CDTF">2024-01-16T01:20:00Z</dcterms:created>
  <dcterms:modified xsi:type="dcterms:W3CDTF">2025-05-21T06:05:24Z</dcterms:modified>
</cp:coreProperties>
</file>