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9"/>
        <w:spacing w:line="580" w:lineRule="exact"/>
        <w:jc w:val="center"/>
        <w:rPr>
          <w:rFonts w:ascii="方正小标宋_GBK" w:eastAsia="方正小标宋_GBK" w:cs="方正小标宋_GBK" w:hint="eastAsia"/>
          <w:sz w:val="44"/>
          <w:szCs w:val="44"/>
        </w:rPr>
      </w:pPr>
      <w:bookmarkStart w:id="0" w:name="_Hlk25540369"/>
      <w:bookmarkStart w:id="1" w:name="cogw__正文__file"/>
      <w:r>
        <w:rPr>
          <w:rFonts w:ascii="方正小标宋_GBK" w:eastAsia="方正小标宋_GBK" w:cs="方正小标宋_GBK" w:hint="eastAsia"/>
          <w:sz w:val="44"/>
          <w:szCs w:val="44"/>
        </w:rPr>
        <w:t>余姚海关2023年政府信息公开工作年度报告</w:t>
      </w:r>
      <w:bookmarkEnd w:id="0"/>
    </w:p>
    <w:p>
      <w:pPr>
        <w:spacing w:line="560" w:lineRule="exact"/>
        <w:rPr>
          <w:rFonts w:ascii="方正仿宋_GBK" w:hint="eastAsia"/>
          <w:spacing w:val="-4"/>
          <w:szCs w:val="32"/>
        </w:rPr>
      </w:pPr>
    </w:p>
    <w:p>
      <w:pPr>
        <w:spacing w:line="560" w:lineRule="exact"/>
        <w:ind w:firstLineChars="200" w:firstLine="624"/>
        <w:rPr>
          <w:rFonts w:ascii="方正黑体_GBK" w:eastAsia="方正黑体_GBK" w:hint="eastAsia"/>
          <w:spacing w:val="-4"/>
          <w:szCs w:val="32"/>
        </w:rPr>
      </w:pPr>
      <w:r>
        <w:rPr>
          <w:rFonts w:ascii="方正黑体_GBK" w:eastAsia="方正黑体_GBK" w:hint="eastAsia"/>
          <w:spacing w:val="-4"/>
          <w:szCs w:val="32"/>
        </w:rPr>
        <w:t>一、总体情况</w:t>
      </w:r>
      <w:bookmarkStart w:id="2" w:name="_GoBack"/>
      <w:bookmarkEnd w:id="2"/>
    </w:p>
    <w:p>
      <w:pPr>
        <w:spacing w:line="560" w:lineRule="exact"/>
        <w:ind w:firstLineChars="200" w:firstLine="624"/>
        <w:rPr>
          <w:rFonts w:hint="eastAsia"/>
          <w:spacing w:val="-4"/>
          <w:szCs w:val="32"/>
        </w:rPr>
      </w:pPr>
      <w:r>
        <w:rPr>
          <w:rFonts w:hint="eastAsia"/>
          <w:spacing w:val="-4"/>
          <w:szCs w:val="32"/>
        </w:rPr>
        <w:t>2023年，余姚海关坚持以习近平新时代中国特色社会主义思想为指导，深入贯彻党的二十大和二十届一中、二中全会精神，按照《中华人民共和国政府信息公开条例》相关规定及宁波海关的工作要求，遵循“以公开为常态、不公开为例外”的原则，认真落实做好本年度的政府信息公开工作。主要做法如下：</w:t>
      </w:r>
    </w:p>
    <w:p>
      <w:pPr>
        <w:spacing w:line="560" w:lineRule="exact"/>
        <w:ind w:firstLineChars="200" w:firstLine="624"/>
        <w:rPr>
          <w:rFonts w:hint="eastAsia"/>
          <w:spacing w:val="-4"/>
          <w:szCs w:val="32"/>
        </w:rPr>
      </w:pPr>
      <w:r>
        <w:rPr>
          <w:rFonts w:hint="eastAsia"/>
          <w:spacing w:val="-4"/>
          <w:szCs w:val="32"/>
        </w:rPr>
        <w:t>一是提高政府信息公开工作的政治站位，筑牢“思想基底”。推行政务公开，是政府服务人民、依靠人民，对人民负责、接受人民监督的重要制度安排，是政府的一项重要职能。余姚海关深入贯彻落实习近平总书记对新时代办公厅工作作出重要指示精神，与深入学习贯彻习近平总书记给红其拉甫海关全体关员重要回信精神相结合，深刻认识政府信息公开工作的政治性和人民性，切实扛起政治责任。</w:t>
      </w:r>
    </w:p>
    <w:p>
      <w:pPr>
        <w:spacing w:line="560" w:lineRule="exact"/>
        <w:ind w:firstLineChars="200" w:firstLine="624"/>
        <w:rPr>
          <w:rFonts w:hint="eastAsia"/>
          <w:spacing w:val="-4"/>
          <w:szCs w:val="32"/>
        </w:rPr>
      </w:pPr>
      <w:r>
        <w:rPr>
          <w:rFonts w:hint="eastAsia"/>
          <w:spacing w:val="-4"/>
          <w:szCs w:val="32"/>
        </w:rPr>
        <w:t>二是进一步推进完善余姚海关政务公开标准化规范化建设。2023年，余姚海关根据《海关领域基层政务公开标准指引》和《宁波海关基层政务公开标准事项目录》的相关要求，进一步规范依申请公开渠道管理，加强联系电话、接收地址、电子邮箱等日常管理，确保电子邮箱至少每2个工作日登录一次。创新工作方法畅通沟通渠道，做到“事事回音”。积极探索创新基层海关工作方式，把关企之间的单一互动，拓展为海关与政府、村（社区）、企业的多方联动。为此，我关与余姚市委组织部共同搭建党建联建平台，同本地41个乡镇、村（社区）、企业党组织签订互助协议，通过“一支部联一乡镇（街道）带一村社和若干企业”，把我们海关的帮扶举措进一步延伸到企业、村镇的“最后一米”。2023年，我关开展“关长接待日”活动12次，接听企业业务咨询电话1800余个，均作有效答复。打造“阳光现场”，将政务公开工作融入企业办事全过程，实现从“要我公开”到“我要公开”的观念转变和行动转变。按照量力而行、必要合理、实用管用的原则，进一步完善政务公开栏建设，在业务大厅显著位置放置机构概况、行政执法人员信息、办事信息、业务值班投诉电话等多个板块，企业关注的各类信息一目了然。</w:t>
      </w:r>
    </w:p>
    <w:p>
      <w:pPr>
        <w:spacing w:line="560" w:lineRule="exact"/>
        <w:ind w:firstLineChars="200" w:firstLine="624"/>
        <w:rPr>
          <w:rFonts w:hint="eastAsia"/>
          <w:spacing w:val="-4"/>
          <w:szCs w:val="32"/>
        </w:rPr>
      </w:pPr>
      <w:r>
        <w:rPr>
          <w:rFonts w:hint="eastAsia"/>
          <w:spacing w:val="-4"/>
          <w:szCs w:val="32"/>
        </w:rPr>
        <w:t>2023年，余姚海关编制机构职能、办事信息、行政检查随机抽查事项清单、政务服务事项办事详解等10余项内容并对外公开，通过图表等形式直观展现各项政务办事流程，以公示促公开，便利企业、群众办事，方便社会监督。2023年，余姚海关行政处罚处理决定数量19件,行政强制处理决定数量7件，无行政许可、行政事业性收费事项，未有收到和处理政府信息公开申请情况。</w:t>
      </w:r>
    </w:p>
    <w:p>
      <w:pPr>
        <w:spacing w:line="560" w:lineRule="exact"/>
        <w:ind w:firstLineChars="200" w:firstLine="624"/>
        <w:rPr>
          <w:rFonts w:ascii="方正黑体_GBK" w:eastAsia="方正黑体_GBK" w:hint="eastAsia"/>
          <w:spacing w:val="-4"/>
          <w:szCs w:val="32"/>
        </w:rPr>
      </w:pPr>
      <w:r>
        <w:rPr>
          <w:rFonts w:ascii="方正黑体_GBK" w:eastAsia="方正黑体_GBK" w:hint="eastAsia"/>
          <w:spacing w:val="-4"/>
          <w:szCs w:val="32"/>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本年</w:t>
            </w:r>
            <w:r>
              <w:rPr>
                <w:rFonts w:ascii="宋体" w:hint="eastAsia"/>
                <w:kern w:val="0"/>
                <w:sz w:val="32"/>
                <w:szCs w:val="32"/>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本年废止件</w:t>
            </w:r>
            <w:r>
              <w:rPr>
                <w:rFonts w:ascii="宋体" w:hint="eastAsia"/>
                <w:kern w:val="0"/>
                <w:sz w:val="32"/>
                <w:szCs w:val="32"/>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rFonts w:ascii="宋体" w:hint="eastAsia"/>
                <w:sz w:val="32"/>
                <w:szCs w:val="32"/>
              </w:rPr>
            </w:pPr>
            <w:r>
              <w:rPr>
                <w:rFonts w:ascii="宋体" w:cs="宋体" w:hint="eastAsia"/>
                <w:kern w:val="0"/>
                <w:sz w:val="32"/>
                <w:szCs w:val="32"/>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32"/>
              </w:rPr>
            </w:pPr>
            <w:r>
              <w:rPr>
                <w:rFonts w:ascii="宋体" w:hint="eastAsia"/>
                <w:sz w:val="24"/>
                <w:szCs w:val="32"/>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32"/>
              </w:rPr>
            </w:pPr>
            <w:r>
              <w:rPr>
                <w:rFonts w:ascii="宋体" w:hint="eastAsia"/>
                <w:sz w:val="24"/>
                <w:szCs w:val="32"/>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32"/>
              </w:rPr>
            </w:pPr>
            <w:r>
              <w:rPr>
                <w:rFonts w:ascii="宋体" w:hint="eastAsia"/>
                <w:sz w:val="24"/>
                <w:szCs w:val="32"/>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32"/>
              </w:rPr>
            </w:pPr>
            <w:r>
              <w:rPr>
                <w:rFonts w:ascii="宋体" w:hint="eastAsia"/>
                <w:sz w:val="24"/>
                <w:szCs w:val="32"/>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32"/>
              </w:rPr>
            </w:pPr>
            <w:r>
              <w:rPr>
                <w:rFonts w:ascii="宋体" w:hint="eastAsia"/>
                <w:sz w:val="24"/>
                <w:szCs w:val="32"/>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32"/>
              </w:rPr>
            </w:pPr>
            <w:r>
              <w:rPr>
                <w:rFonts w:ascii="宋体" w:hint="eastAsia"/>
                <w:sz w:val="24"/>
                <w:szCs w:val="32"/>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rFonts w:ascii="宋体" w:hint="eastAsia"/>
                <w:sz w:val="24"/>
                <w:szCs w:val="32"/>
              </w:rPr>
            </w:pPr>
            <w:r>
              <w:rPr>
                <w:rFonts w:ascii="宋体" w:cs="宋体" w:hint="eastAsia"/>
                <w:kern w:val="0"/>
                <w:sz w:val="24"/>
                <w:szCs w:val="32"/>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ascii="宋体" w:cs="宋体" w:hint="eastAsia"/>
                <w:sz w:val="24"/>
                <w:szCs w:val="32"/>
              </w:rPr>
            </w:pPr>
            <w:r>
              <w:rPr>
                <w:rFonts w:ascii="宋体" w:cs="宋体" w:hint="eastAsia"/>
                <w:sz w:val="24"/>
                <w:szCs w:val="32"/>
              </w:rPr>
              <w:t>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rFonts w:ascii="宋体" w:hint="eastAsia"/>
                <w:sz w:val="24"/>
                <w:szCs w:val="32"/>
              </w:rPr>
            </w:pPr>
            <w:r>
              <w:rPr>
                <w:rFonts w:ascii="宋体" w:cs="宋体" w:hint="eastAsia"/>
                <w:kern w:val="0"/>
                <w:sz w:val="24"/>
                <w:szCs w:val="32"/>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cs="宋体" w:hint="eastAsia"/>
                <w:sz w:val="24"/>
                <w:szCs w:val="32"/>
              </w:rPr>
            </w:pPr>
            <w:r>
              <w:rPr>
                <w:rFonts w:ascii="宋体" w:cs="宋体" w:hint="eastAsia"/>
                <w:sz w:val="24"/>
                <w:szCs w:val="32"/>
              </w:rPr>
              <w:t>19</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ascii="宋体" w:cs="宋体" w:hint="eastAsia"/>
                <w:sz w:val="24"/>
                <w:szCs w:val="32"/>
              </w:rPr>
            </w:pPr>
            <w:r>
              <w:rPr>
                <w:rFonts w:ascii="宋体" w:cs="宋体" w:hint="eastAsia"/>
                <w:sz w:val="24"/>
                <w:szCs w:val="32"/>
              </w:rPr>
              <w:t>7</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rFonts w:ascii="宋体" w:hint="eastAsia"/>
                <w:sz w:val="32"/>
                <w:szCs w:val="32"/>
              </w:rPr>
            </w:pPr>
            <w:r>
              <w:rPr>
                <w:rFonts w:ascii="宋体" w:cs="宋体" w:hint="eastAsia"/>
                <w:kern w:val="0"/>
                <w:sz w:val="32"/>
                <w:szCs w:val="32"/>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szCs w:val="32"/>
              </w:rPr>
            </w:pPr>
            <w:r>
              <w:rPr>
                <w:rFonts w:ascii="宋体" w:cs="宋体" w:hint="eastAsia"/>
                <w:kern w:val="0"/>
                <w:sz w:val="24"/>
                <w:szCs w:val="32"/>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rFonts w:ascii="宋体" w:hint="eastAsia"/>
                <w:sz w:val="24"/>
                <w:szCs w:val="32"/>
              </w:rPr>
            </w:pPr>
            <w:r>
              <w:rPr>
                <w:rFonts w:ascii="宋体" w:cs="宋体" w:hint="eastAsia"/>
                <w:kern w:val="0"/>
                <w:sz w:val="24"/>
                <w:szCs w:val="32"/>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rFonts w:ascii="宋体" w:hint="eastAsia"/>
                <w:sz w:val="24"/>
              </w:rP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ascii="宋体" w:cs="宋体" w:hint="eastAsia"/>
                <w:sz w:val="24"/>
                <w:szCs w:val="24"/>
              </w:rPr>
            </w:pPr>
            <w:r>
              <w:rPr>
                <w:rFonts w:ascii="宋体" w:cs="宋体" w:hint="eastAsia"/>
                <w:sz w:val="24"/>
                <w:szCs w:val="24"/>
              </w:rPr>
              <w:t>0</w:t>
            </w:r>
          </w:p>
        </w:tc>
      </w:tr>
    </w:tbl>
    <w:p>
      <w:pPr>
        <w:pStyle w:val="16"/>
        <w:tabs>
          <w:tab w:val="center" w:pos="4153"/>
          <w:tab w:val="right" w:pos="8306"/>
        </w:tabs>
        <w:rPr>
          <w:rFonts w:ascii="宋体" w:eastAsia="宋体" w:hint="eastAsia"/>
        </w:rPr>
      </w:pPr>
    </w:p>
    <w:p>
      <w:pPr>
        <w:pStyle w:val="25"/>
        <w:widowControl/>
        <w:shd w:val="clear" w:color="auto" w:fill="FFFFFF"/>
        <w:adjustRightInd w:val="0"/>
        <w:snapToGrid w:val="0"/>
        <w:spacing w:beforeAutospacing="0" w:afterLines="50" w:after="218" w:afterAutospacing="0" w:line="560" w:lineRule="exact"/>
        <w:ind w:firstLineChars="200" w:firstLine="624"/>
        <w:jc w:val="both"/>
        <w:rPr>
          <w:rFonts w:ascii="方正黑体_GBK" w:eastAsia="方正黑体_GBK" w:hint="eastAsia"/>
          <w:spacing w:val="-4"/>
          <w:kern w:val="2"/>
          <w:sz w:val="32"/>
          <w:szCs w:val="32"/>
        </w:rPr>
      </w:pPr>
      <w:r>
        <w:rPr>
          <w:rFonts w:ascii="方正黑体_GBK" w:eastAsia="方正黑体_GBK" w:hint="eastAsia"/>
          <w:spacing w:val="-4"/>
          <w:kern w:val="2"/>
          <w:sz w:val="32"/>
          <w:szCs w:val="32"/>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rP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rFonts w:ascii="宋体" w:hint="eastAsia"/>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rFonts w:ascii="宋体" w:hint="eastAsia"/>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rFonts w:ascii="宋体" w:hint="eastAsia"/>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rFonts w:ascii="宋体" w:hint="eastAsia"/>
                <w:sz w:val="24"/>
                <w:szCs w:val="24"/>
              </w:rPr>
            </w:pPr>
            <w:r>
              <w:rPr>
                <w:rFonts w:ascii="宋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rFonts w:ascii="宋体" w:hint="eastAsia"/>
                <w:sz w:val="24"/>
                <w:szCs w:val="24"/>
              </w:rPr>
            </w:pPr>
            <w:r>
              <w:rPr>
                <w:rFonts w:ascii="宋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rPr>
                <w:rFonts w:ascii="宋体" w:cs="楷体" w:hint="eastAsia"/>
                <w:kern w:val="0"/>
                <w:sz w:val="24"/>
                <w:szCs w:val="24"/>
              </w:rPr>
            </w:pPr>
            <w:r>
              <w:rPr>
                <w:rFonts w:ascii="宋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宋体" w:cs="楷体" w:hint="eastAsia"/>
                <w:kern w:val="0"/>
                <w:sz w:val="24"/>
                <w:szCs w:val="24"/>
              </w:rPr>
            </w:pPr>
            <w:r>
              <w:rPr>
                <w:rFonts w:ascii="宋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宋体" w:cs="楷体" w:hint="eastAsia"/>
                <w:kern w:val="0"/>
                <w:sz w:val="24"/>
                <w:szCs w:val="24"/>
              </w:rPr>
            </w:pPr>
            <w:r>
              <w:rPr>
                <w:rFonts w:ascii="宋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宋体" w:cs="楷体" w:hint="eastAsia"/>
                <w:kern w:val="0"/>
                <w:sz w:val="24"/>
                <w:szCs w:val="24"/>
              </w:rPr>
            </w:pPr>
            <w:r>
              <w:rPr>
                <w:rFonts w:ascii="宋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ascii="宋体" w:hint="eastAsia"/>
                <w:sz w:val="24"/>
                <w:szCs w:val="24"/>
              </w:rPr>
            </w:pPr>
            <w:r>
              <w:rPr>
                <w:rFonts w:ascii="宋体"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rFonts w:ascii="宋体" w:hint="eastAsia"/>
                <w:sz w:val="24"/>
                <w:szCs w:val="24"/>
              </w:rPr>
            </w:pPr>
            <w:r>
              <w:rPr>
                <w:rFonts w:ascii="宋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left"/>
              <w:rPr>
                <w:rFonts w:ascii="宋体" w:hint="eastAsia"/>
              </w:rPr>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ascii="宋体" w:hint="eastAsia"/>
                <w:sz w:val="24"/>
                <w:szCs w:val="24"/>
              </w:rPr>
            </w:pPr>
            <w:r>
              <w:rPr>
                <w:rFonts w:ascii="宋体" w:hint="eastAsia"/>
                <w:sz w:val="24"/>
                <w:szCs w:val="24"/>
              </w:rPr>
              <w:t>0</w:t>
            </w:r>
          </w:p>
        </w:tc>
      </w:tr>
    </w:tbl>
    <w:p>
      <w:pPr>
        <w:pStyle w:val="25"/>
        <w:widowControl/>
        <w:shd w:val="clear" w:color="auto" w:fill="FFFFFF"/>
        <w:spacing w:beforeLines="50" w:before="218" w:beforeAutospacing="0" w:after="120" w:afterAutospacing="0"/>
        <w:ind w:firstLineChars="200" w:firstLine="640"/>
        <w:jc w:val="both"/>
        <w:rPr>
          <w:rFonts w:ascii="宋体" w:cs="宋体" w:hint="eastAsia"/>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eastAsia="方正黑体_GBK" w:cs="楷体_GB2312" w:hint="eastAsia"/>
          <w:bCs/>
          <w:sz w:val="32"/>
          <w:szCs w:val="32"/>
          <w:shd w:val="clear" w:color="auto" w:fill="FFFFFF"/>
        </w:rPr>
      </w:pPr>
      <w:r>
        <w:rPr>
          <w:rFonts w:eastAsia="方正黑体_GBK" w:cs="楷体_GB2312" w:hint="eastAsia"/>
          <w:bCs/>
          <w:sz w:val="32"/>
          <w:szCs w:val="32"/>
          <w:shd w:val="clear" w:color="auto" w:fill="FFFFFF"/>
        </w:rPr>
        <w:t>五、存在的主要问题及改进情况</w:t>
      </w:r>
    </w:p>
    <w:p>
      <w:pPr>
        <w:pStyle w:val="79"/>
        <w:tabs>
          <w:tab w:val="left" w:pos="6990"/>
        </w:tabs>
        <w:spacing w:line="560" w:lineRule="exact"/>
        <w:ind w:firstLineChars="200" w:firstLine="624"/>
        <w:rPr>
          <w:rFonts w:eastAsia="方正楷体_GBK" w:hint="eastAsia"/>
          <w:spacing w:val="-4"/>
          <w:szCs w:val="32"/>
        </w:rPr>
      </w:pPr>
      <w:r>
        <w:rPr>
          <w:rFonts w:eastAsia="方正楷体_GBK" w:hint="eastAsia"/>
          <w:spacing w:val="-4"/>
          <w:szCs w:val="32"/>
        </w:rPr>
        <w:t>（一）2022年年报中所提问题整改情况。</w:t>
        <w:tab/>
      </w:r>
    </w:p>
    <w:p>
      <w:pPr>
        <w:pStyle w:val="79"/>
        <w:spacing w:line="560" w:lineRule="exact"/>
        <w:ind w:firstLineChars="200" w:firstLine="624"/>
        <w:rPr>
          <w:spacing w:val="-4"/>
          <w:szCs w:val="32"/>
        </w:rPr>
      </w:pPr>
      <w:r>
        <w:rPr>
          <w:rFonts w:hint="eastAsia"/>
          <w:spacing w:val="-4"/>
          <w:szCs w:val="32"/>
        </w:rPr>
        <w:t>针对202</w:t>
      </w:r>
      <w:r>
        <w:rPr>
          <w:spacing w:val="-4"/>
          <w:szCs w:val="32"/>
        </w:rPr>
        <w:t>2</w:t>
      </w:r>
      <w:r>
        <w:rPr>
          <w:rFonts w:hint="eastAsia"/>
          <w:spacing w:val="-4"/>
          <w:szCs w:val="32"/>
        </w:rPr>
        <w:t>年年报中所提“阳光余你”品牌建设需要进一步加强的情况，2023年余姚海关进一步深化品牌内涵，丰富品牌内容，拓展了关企互动形式、开展了“关长接待日”活动，并以此为抓手，打造“阳光现场”，将政务公开工作融入企业办事全过程。</w:t>
      </w:r>
    </w:p>
    <w:p>
      <w:pPr>
        <w:pStyle w:val="79"/>
        <w:spacing w:line="560" w:lineRule="exact"/>
        <w:ind w:firstLineChars="200" w:firstLine="624"/>
        <w:rPr>
          <w:rFonts w:eastAsia="方正楷体_GBK" w:hint="eastAsia"/>
          <w:spacing w:val="-4"/>
          <w:szCs w:val="32"/>
        </w:rPr>
      </w:pPr>
      <w:r>
        <w:rPr>
          <w:rFonts w:eastAsia="方正楷体_GBK" w:hint="eastAsia"/>
          <w:spacing w:val="-4"/>
          <w:szCs w:val="32"/>
        </w:rPr>
        <w:t>（二）目前存在问题。</w:t>
      </w:r>
    </w:p>
    <w:p>
      <w:pPr>
        <w:pStyle w:val="79"/>
        <w:spacing w:line="560" w:lineRule="exact"/>
        <w:ind w:firstLineChars="200" w:firstLine="624"/>
        <w:rPr>
          <w:spacing w:val="-4"/>
          <w:szCs w:val="32"/>
        </w:rPr>
      </w:pPr>
      <w:r>
        <w:rPr>
          <w:rFonts w:hint="eastAsia"/>
          <w:spacing w:val="-4"/>
          <w:szCs w:val="32"/>
        </w:rPr>
        <w:t>政务公开掌控力有待提高。随着互联网的不断普及，公众对政务部门的申请公开信息关注度也在不断提高。近年来，因政府部门应对失当导致的行政复议、诉讼事件屡见不鲜，甚至引起公众舆情事件。以余姚海关为例，我关历年来接到的依申请公开案例很少，相关关员普遍缺乏应对经验，尤其在面对新媒体时代微博、微信平台对海关政策误解及不良舆情处置时有时反应相对迟缓，不利于对海关政策的正确解释及公众情绪的合理引导。</w:t>
      </w:r>
      <w:r>
        <w:rPr>
          <w:spacing w:val="-4"/>
          <w:szCs w:val="32"/>
        </w:rPr>
        <w:t>　　</w:t>
      </w:r>
    </w:p>
    <w:p>
      <w:pPr>
        <w:pStyle w:val="79"/>
        <w:spacing w:line="560" w:lineRule="exact"/>
        <w:ind w:firstLineChars="200" w:firstLine="640"/>
        <w:rPr>
          <w:rFonts w:eastAsia="方正黑体_GBK" w:cs="楷体_GB2312" w:hint="eastAsia"/>
          <w:bCs/>
          <w:kern w:val="0"/>
          <w:szCs w:val="32"/>
          <w:shd w:val="clear" w:color="auto" w:fill="FFFFFF"/>
        </w:rPr>
      </w:pPr>
      <w:r>
        <w:rPr>
          <w:rFonts w:eastAsia="方正黑体_GBK" w:cs="楷体_GB2312" w:hint="eastAsia"/>
          <w:bCs/>
          <w:kern w:val="0"/>
          <w:szCs w:val="32"/>
          <w:shd w:val="clear" w:color="auto" w:fill="FFFFFF"/>
        </w:rPr>
        <w:t>六、其他需要报告的事项</w:t>
      </w:r>
      <w:bookmarkEnd w:id="1"/>
    </w:p>
    <w:p>
      <w:pPr>
        <w:pStyle w:val="79"/>
        <w:spacing w:line="560" w:lineRule="exact"/>
        <w:ind w:firstLineChars="200" w:firstLine="624"/>
        <w:rPr>
          <w:rFonts w:hint="eastAsia"/>
          <w:spacing w:val="-4"/>
          <w:szCs w:val="32"/>
        </w:rPr>
      </w:pPr>
      <w:r>
        <w:rPr>
          <w:rFonts w:hint="eastAsia"/>
          <w:spacing w:val="-4"/>
          <w:szCs w:val="32"/>
        </w:rPr>
        <w:t>我关2023年无收取信息处理费情况。</w:t>
      </w:r>
    </w:p>
    <w:p>
      <w:pPr>
        <w:pStyle w:val="79"/>
        <w:spacing w:line="560" w:lineRule="exact"/>
        <w:rPr>
          <w:rFonts w:ascii="方正仿宋_GBK"/>
          <w:spacing w:val="-4"/>
          <w:szCs w:val="32"/>
        </w:rPr>
      </w:pPr>
    </w:p>
    <w:sectPr>
      <w:footerReference w:type="default" r:id="rId2"/>
      <w:footerReference w:type="even" r:id="rId3"/>
      <w:footerReference w:type="first" r:id="rId4"/>
      <w:pgSz w:w="11906" w:h="16838"/>
      <w:pgMar w:top="2098" w:right="1474" w:bottom="1985" w:left="1588" w:header="851" w:footer="992" w:gutter="0"/>
      <w:pgNumType w:fmt="numberInDash" w:start="1"/>
      <w:cols w:num="1" w:space="72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楷体_GB2312">
    <w:altName w:val="方正楷体_GBK"/>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Lucida Sans">
    <w:altName w:val="DejaVu Sans"/>
    <w:panose1 w:val="00000000000000000000"/>
    <w:charset w:val="00"/>
    <w:family w:val="swiss"/>
    <w:pitch w:val="variable"/>
    <w:sig w:usb0="00000003" w:usb1="00000000" w:usb2="00000000" w:usb3="00000000" w:csb0="00000001" w:csb1="00000000"/>
  </w:font>
  <w:font w:name="黑体">
    <w:altName w:val="华文细黑"/>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- 5 -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- 6 -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F25BEFB"/>
    <w:multiLevelType w:val="singleLevel"/>
    <w:tmpl w:val="49800DF6"/>
    <w:lvl w:ilvl="0">
      <w:start w:val="1"/>
      <w:numFmt w:val="decimal"/>
      <w:lvlRestart w:val="0"/>
      <w:pStyle w:val="52"/>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hAnsi="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widowControl w:val="0"/>
    </w:pPr>
    <w:rPr>
      <w:rFonts w:ascii="宋体" w:eastAsia="宋体" w:cs="Times New Roman" w:hAnsi="Times New Roman"/>
      <w:kern w:val="2"/>
      <w:sz w:val="24"/>
      <w:szCs w:val="20"/>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hAnsi="Times New Roman"/>
      <w:kern w:val="2"/>
      <w:sz w:val="24"/>
      <w:szCs w:val="20"/>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9 10 磅"/>
    <w:basedOn w:val="0"/>
    <w:rPr>
      <w:rFonts w:ascii="Calibri" w:eastAsia="宋体" w:cs="Arial" w:hAnsi="Calibri"/>
      <w:sz w:val="21"/>
    </w:rPr>
  </w:style>
  <w:style w:type="paragraph" w:styleId="69">
    <w:name w:val="List Continue"/>
    <w:basedOn w:val="0"/>
    <w:pPr>
      <w:spacing w:after="120"/>
      <w:ind w:left="420"/>
    </w:pPr>
  </w:style>
  <w:style w:type="paragraph" w:customStyle="1" w:styleId="70">
    <w:name w:val="样式 10 磅"/>
    <w:pPr>
      <w:widowControl w:val="0"/>
      <w:jc w:val="both"/>
    </w:pPr>
    <w:rPr>
      <w:rFonts w:ascii="Calibri" w:eastAsia="宋体" w:cs="Arial" w:hAnsi="Calibri"/>
      <w:kern w:val="2"/>
      <w:sz w:val="21"/>
      <w:szCs w:val="22"/>
      <w:lang w:val="en-US" w:eastAsia="zh-CN" w:bidi="ar-SA"/>
    </w:rPr>
  </w:style>
  <w:style w:type="paragraph" w:customStyle="1" w:styleId="71">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7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2 10 磅"/>
    <w:basedOn w:val="0"/>
    <w:rPr>
      <w:rFonts w:ascii="Calibri" w:eastAsia="宋体" w:cs="Arial" w:hAnsi="Calibri"/>
      <w:sz w:val="21"/>
    </w:rPr>
  </w:style>
  <w:style w:type="paragraph" w:customStyle="1" w:styleId="74">
    <w:name w:val="样式 3 10 磅"/>
    <w:pPr>
      <w:widowControl w:val="0"/>
      <w:jc w:val="both"/>
    </w:pPr>
    <w:rPr>
      <w:rFonts w:ascii="Times New Roman" w:eastAsia="宋体" w:cs="Lucida Sans" w:hAnsi="Times New Roman"/>
      <w:kern w:val="2"/>
      <w:sz w:val="21"/>
      <w:szCs w:val="21"/>
      <w:lang w:val="en-US" w:eastAsia="zh-CN" w:bidi="ar-SA"/>
    </w:rPr>
  </w:style>
  <w:style w:type="paragraph" w:customStyle="1" w:styleId="75">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 10 磅"/>
    <w:pPr>
      <w:widowControl w:val="0"/>
      <w:jc w:val="both"/>
    </w:pPr>
    <w:rPr>
      <w:rFonts w:ascii="Times New Roman" w:eastAsia="宋体" w:cs="Lucida Sans" w:hAnsi="Times New Roman"/>
      <w:kern w:val="2"/>
      <w:sz w:val="21"/>
      <w:szCs w:val="21"/>
      <w:lang w:val="en-US" w:eastAsia="zh-CN" w:bidi="ar-SA"/>
    </w:rPr>
  </w:style>
  <w:style w:type="paragraph" w:customStyle="1" w:styleId="77">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8">
    <w:name w:val="样式 6 10 磅"/>
    <w:pPr>
      <w:widowControl w:val="0"/>
      <w:jc w:val="both"/>
    </w:pPr>
    <w:rPr>
      <w:rFonts w:ascii="Times New Roman" w:eastAsia="宋体" w:cs="Times New Roman" w:hAnsi="Times New Roman"/>
      <w:kern w:val="2"/>
      <w:sz w:val="21"/>
      <w:szCs w:val="24"/>
      <w:lang w:val="en-US" w:eastAsia="zh-CN" w:bidi="ar-SA"/>
    </w:rPr>
  </w:style>
  <w:style w:type="paragraph" w:styleId="79">
    <w:name w:val="No Spacing"/>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953CD7B5-BC52-4931-96EC-0B2D838C7B9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Yozo_Office27021597764231179</Application>
  <Pages>6</Pages>
  <Words>0</Words>
  <Characters>2013</Characters>
  <Lines>0</Lines>
  <Paragraphs>22</Paragraphs>
  <CharactersWithSpaces>2684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meihao</cp:lastModifiedBy>
  <cp:revision>2</cp:revision>
  <cp:lastPrinted>2020-01-22T00:43:00Z</cp:lastPrinted>
  <dcterms:created xsi:type="dcterms:W3CDTF">2024-01-30T10:11:00Z</dcterms:created>
  <dcterms:modified xsi:type="dcterms:W3CDTF">2025-05-21T06:20:38Z</dcterms:modified>
</cp:coreProperties>
</file>