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39"/>
        <w:spacing w:line="580" w:lineRule="exact"/>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hint="eastAsia"/>
          <w:sz w:val="44"/>
          <w:szCs w:val="44"/>
        </w:rPr>
        <w:t>象山海关2023年政府信息公开工作年度报告</w:t>
      </w:r>
      <w:bookmarkEnd w:id="0"/>
    </w:p>
    <w:p>
      <w:pPr>
        <w:pStyle w:val="25"/>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color w:val="FF0000"/>
          <w:sz w:val="32"/>
          <w:szCs w:val="32"/>
        </w:rPr>
      </w:pPr>
      <w:r>
        <w:rPr>
          <w:rFonts w:ascii="方正黑体_GBK" w:eastAsia="方正黑体_GBK" w:cs="楷体_GB2312" w:hint="eastAsia"/>
          <w:bCs/>
          <w:sz w:val="32"/>
          <w:szCs w:val="32"/>
          <w:shd w:val="clear" w:color="auto" w:fill="FFFFFF"/>
        </w:rPr>
        <w:t>一、总体情况</w:t>
      </w:r>
    </w:p>
    <w:p>
      <w:pPr>
        <w:pStyle w:val="29"/>
        <w:adjustRightInd w:val="0"/>
        <w:snapToGrid w:val="0"/>
        <w:spacing w:line="56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2023年，象山海关以习近平新时代中国特色社会主义思想为指导，深入学习贯彻党的二十大精神，全面落实《海关领域基层政务公开标准指引》要求，按照</w:t>
      </w:r>
      <w:r>
        <w:rPr>
          <w:rFonts w:ascii="Times New Roman" w:eastAsia="方正仿宋_GBK" w:hAnsi="Times New Roman" w:hint="eastAsia"/>
          <w:sz w:val="32"/>
          <w:szCs w:val="32"/>
        </w:rPr>
        <w:t>宁波海关政务公开相关工作要求，认真开展政务公开各项工作。</w:t>
      </w:r>
    </w:p>
    <w:p>
      <w:pPr>
        <w:pStyle w:val="29"/>
        <w:adjustRightInd w:val="0"/>
        <w:snapToGrid w:val="0"/>
        <w:spacing w:line="560" w:lineRule="exact"/>
        <w:ind w:firstLineChars="200" w:firstLine="480"/>
        <w:jc w:val="both"/>
        <w:rPr>
          <w:rFonts w:ascii="方正楷体_GBK" w:eastAsia="方正楷体_GBK" w:cs="方正楷体_GBK"/>
          <w:sz w:val="32"/>
          <w:szCs w:val="32"/>
        </w:rPr>
      </w:pPr>
      <w:r>
        <w:rPr>
          <w:rFonts w:ascii="方正楷体_GBK" w:eastAsia="方正楷体_GBK" w:cs="方正楷体_GBK" w:hint="eastAsia"/>
          <w:szCs w:val="32"/>
        </w:rPr>
        <w:t>（</w:t>
      </w:r>
      <w:r>
        <w:rPr>
          <w:rFonts w:ascii="方正楷体_GBK" w:eastAsia="方正楷体_GBK" w:cs="方正楷体_GBK" w:hint="eastAsia"/>
          <w:sz w:val="32"/>
          <w:szCs w:val="32"/>
        </w:rPr>
        <w:t>一）主动公开和依申请公开情况</w:t>
      </w:r>
      <w:r>
        <w:rPr>
          <w:rFonts w:ascii="方正楷体_GBK" w:eastAsia="方正楷体_GBK" w:cs="方正楷体_GBK"/>
          <w:sz w:val="32"/>
          <w:szCs w:val="32"/>
        </w:rPr>
        <w:t>。</w:t>
      </w:r>
    </w:p>
    <w:p>
      <w:pPr>
        <w:pStyle w:val="73"/>
        <w:adjustRightInd w:val="0"/>
        <w:snapToGrid w:val="0"/>
        <w:spacing w:line="56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本年度办理</w:t>
      </w:r>
      <w:r>
        <w:rPr>
          <w:rFonts w:ascii="Times New Roman" w:eastAsia="方正仿宋_GBK" w:hAnsi="Times New Roman" w:hint="eastAsia"/>
          <w:sz w:val="32"/>
          <w:szCs w:val="32"/>
        </w:rPr>
        <w:t>6</w:t>
      </w:r>
      <w:r>
        <w:rPr>
          <w:rFonts w:ascii="Times New Roman" w:eastAsia="方正仿宋_GBK" w:hAnsi="Times New Roman"/>
          <w:sz w:val="32"/>
          <w:szCs w:val="32"/>
        </w:rPr>
        <w:t>起行政处罚案件，</w:t>
      </w:r>
      <w:r>
        <w:rPr>
          <w:rFonts w:ascii="Times New Roman" w:eastAsia="方正仿宋_GBK" w:hAnsi="Times New Roman" w:hint="eastAsia"/>
          <w:sz w:val="32"/>
          <w:szCs w:val="32"/>
        </w:rPr>
        <w:t>需要</w:t>
      </w:r>
      <w:r>
        <w:rPr>
          <w:rFonts w:ascii="Times New Roman" w:eastAsia="方正仿宋_GBK" w:hAnsi="Times New Roman"/>
          <w:sz w:val="32"/>
          <w:szCs w:val="32"/>
        </w:rPr>
        <w:t>主动公开</w:t>
      </w:r>
      <w:r>
        <w:rPr>
          <w:rFonts w:ascii="Times New Roman" w:eastAsia="方正仿宋_GBK" w:hAnsi="Times New Roman" w:hint="eastAsia"/>
          <w:sz w:val="32"/>
          <w:szCs w:val="32"/>
        </w:rPr>
        <w:t>的案件</w:t>
      </w:r>
      <w:r>
        <w:rPr>
          <w:rFonts w:ascii="Times New Roman" w:eastAsia="方正仿宋_GBK" w:hAnsi="Times New Roman"/>
          <w:sz w:val="32"/>
          <w:szCs w:val="32"/>
        </w:rPr>
        <w:t>已按要求进行主动公开，过程做到规范透明；本年度未收到政府信息公开申请。</w:t>
      </w:r>
    </w:p>
    <w:p>
      <w:pPr>
        <w:pStyle w:val="73"/>
        <w:adjustRightInd w:val="0"/>
        <w:snapToGrid w:val="0"/>
        <w:spacing w:line="560" w:lineRule="exact"/>
        <w:ind w:firstLineChars="200" w:firstLine="640"/>
        <w:jc w:val="both"/>
        <w:rPr>
          <w:rFonts w:ascii="方正楷体_GBK" w:eastAsia="方正楷体_GBK" w:cs="方正楷体_GBK"/>
          <w:sz w:val="32"/>
          <w:szCs w:val="32"/>
        </w:rPr>
      </w:pPr>
      <w:r>
        <w:rPr>
          <w:rFonts w:ascii="方正楷体_GBK" w:eastAsia="方正楷体_GBK" w:cs="方正楷体_GBK" w:hint="eastAsia"/>
          <w:sz w:val="32"/>
          <w:szCs w:val="32"/>
        </w:rPr>
        <w:t>（二）学习情况</w:t>
      </w:r>
      <w:r>
        <w:rPr>
          <w:rFonts w:ascii="方正楷体_GBK" w:eastAsia="方正楷体_GBK" w:cs="方正楷体_GBK"/>
          <w:sz w:val="32"/>
          <w:szCs w:val="32"/>
        </w:rPr>
        <w:t>。</w:t>
      </w:r>
    </w:p>
    <w:p>
      <w:pPr>
        <w:pStyle w:val="73"/>
        <w:adjustRightInd w:val="0"/>
        <w:snapToGrid w:val="0"/>
        <w:spacing w:line="56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依托科务会、业务沙龙等形式，定期开展学习研讨，认真学习《中华人民共和国政府信息公开条例》《宁波海关政府信息公开实施办法》《海关总署办公厅关于全面推进海关领域基层政务公开标准化规范化工作的通知》《宁波海关关于推进关区基层政务公开标准化规范化工作的实施方案》《新时代政务公开》等文件和书籍资料，不断提升相关工作人员业务水平。</w:t>
      </w:r>
    </w:p>
    <w:p>
      <w:pPr>
        <w:spacing w:line="560" w:lineRule="exact"/>
        <w:ind w:firstLineChars="200" w:firstLine="640"/>
        <w:rPr>
          <w:rFonts w:ascii="方正楷体_GBK" w:eastAsia="方正楷体_GBK" w:cs="方正楷体_GBK"/>
          <w:szCs w:val="32"/>
        </w:rPr>
      </w:pPr>
      <w:r>
        <w:rPr>
          <w:rFonts w:ascii="方正楷体_GBK" w:eastAsia="方正楷体_GBK" w:cs="方正楷体_GBK" w:hint="eastAsia"/>
          <w:szCs w:val="32"/>
        </w:rPr>
        <w:t>（三）对外服务情况</w:t>
      </w:r>
      <w:r>
        <w:rPr>
          <w:rFonts w:ascii="方正楷体_GBK" w:eastAsia="方正楷体_GBK" w:cs="方正楷体_GBK"/>
          <w:szCs w:val="32"/>
        </w:rPr>
        <w:t>。</w:t>
      </w:r>
    </w:p>
    <w:p>
      <w:pPr>
        <w:pStyle w:val="75"/>
        <w:spacing w:line="560" w:lineRule="exact"/>
        <w:ind w:firstLineChars="200" w:firstLine="640"/>
        <w:rPr>
          <w:color w:val="000000"/>
          <w:kern w:val="0"/>
          <w:szCs w:val="32"/>
        </w:rPr>
      </w:pPr>
      <w:r>
        <w:rPr>
          <w:szCs w:val="32"/>
        </w:rPr>
        <w:t>积极践行和发展新时代</w:t>
      </w:r>
      <w:r>
        <w:rPr>
          <w:rFonts w:hint="eastAsia"/>
          <w:szCs w:val="32"/>
        </w:rPr>
        <w:t>“</w:t>
      </w:r>
      <w:r>
        <w:rPr>
          <w:szCs w:val="32"/>
        </w:rPr>
        <w:t>枫桥经验</w:t>
      </w:r>
      <w:r>
        <w:rPr>
          <w:rFonts w:hint="eastAsia"/>
          <w:szCs w:val="32"/>
        </w:rPr>
        <w:t>”</w:t>
      </w:r>
      <w:r>
        <w:rPr>
          <w:szCs w:val="32"/>
        </w:rPr>
        <w:t>和</w:t>
      </w:r>
      <w:r>
        <w:rPr>
          <w:rFonts w:hint="eastAsia"/>
          <w:szCs w:val="32"/>
        </w:rPr>
        <w:t>“</w:t>
      </w:r>
      <w:r>
        <w:rPr>
          <w:szCs w:val="32"/>
        </w:rPr>
        <w:t>浦江经验</w:t>
      </w:r>
      <w:r>
        <w:rPr>
          <w:rFonts w:hint="eastAsia"/>
          <w:szCs w:val="32"/>
        </w:rPr>
        <w:t>”</w:t>
      </w:r>
      <w:r>
        <w:rPr>
          <w:szCs w:val="32"/>
        </w:rPr>
        <w:t>，打造</w:t>
      </w:r>
      <w:r>
        <w:rPr>
          <w:rFonts w:hint="eastAsia"/>
          <w:szCs w:val="32"/>
        </w:rPr>
        <w:t>“</w:t>
      </w:r>
      <w:r>
        <w:rPr>
          <w:szCs w:val="32"/>
        </w:rPr>
        <w:t>枫象标</w:t>
      </w:r>
      <w:r>
        <w:rPr>
          <w:rFonts w:hint="eastAsia"/>
          <w:szCs w:val="32"/>
        </w:rPr>
        <w:t>”</w:t>
      </w:r>
      <w:r>
        <w:rPr>
          <w:szCs w:val="32"/>
        </w:rPr>
        <w:t>工作室，</w:t>
      </w:r>
      <w:r>
        <w:rPr>
          <w:rFonts w:hint="eastAsia"/>
          <w:color w:val="000000"/>
          <w:kern w:val="0"/>
          <w:szCs w:val="32"/>
        </w:rPr>
        <w:t>不断优化“企业之家”服务平台</w:t>
      </w:r>
      <w:r>
        <w:rPr>
          <w:szCs w:val="32"/>
        </w:rPr>
        <w:t>，</w:t>
      </w:r>
      <w:r>
        <w:rPr>
          <w:color w:val="000000"/>
          <w:kern w:val="0"/>
          <w:szCs w:val="32"/>
        </w:rPr>
        <w:t>紧抓</w:t>
      </w:r>
      <w:r>
        <w:rPr>
          <w:rFonts w:ascii="方正仿宋_GBK" w:cs="方正仿宋_GBK" w:hint="eastAsia"/>
          <w:color w:val="000000"/>
          <w:kern w:val="0"/>
          <w:szCs w:val="32"/>
        </w:rPr>
        <w:t>“一个窗口”、“一张笑脸”、“一杆标尺”、“一通电话”、“一份担当”、“一顿便饭”</w:t>
      </w:r>
      <w:r>
        <w:rPr>
          <w:color w:val="000000"/>
          <w:kern w:val="0"/>
          <w:szCs w:val="32"/>
        </w:rPr>
        <w:t>六个一窗口建设</w:t>
      </w:r>
      <w:r>
        <w:rPr>
          <w:rFonts w:hint="eastAsia"/>
          <w:color w:val="000000"/>
          <w:kern w:val="0"/>
          <w:szCs w:val="32"/>
        </w:rPr>
        <w:t>，</w:t>
      </w:r>
      <w:r>
        <w:rPr>
          <w:color w:val="000000"/>
          <w:kern w:val="0"/>
          <w:szCs w:val="32"/>
        </w:rPr>
        <w:t>满足企业需求，切实解决企业困难，提升企业</w:t>
      </w:r>
      <w:r>
        <w:rPr>
          <w:rFonts w:hint="eastAsia"/>
          <w:color w:val="000000"/>
          <w:kern w:val="0"/>
          <w:szCs w:val="32"/>
        </w:rPr>
        <w:t>群众</w:t>
      </w:r>
      <w:r>
        <w:rPr>
          <w:color w:val="000000"/>
          <w:kern w:val="0"/>
          <w:szCs w:val="32"/>
        </w:rPr>
        <w:t>满意度，</w:t>
      </w:r>
      <w:r>
        <w:rPr>
          <w:rFonts w:hint="eastAsia"/>
          <w:color w:val="000000"/>
          <w:kern w:val="0"/>
          <w:szCs w:val="32"/>
        </w:rPr>
        <w:t>全年</w:t>
      </w:r>
      <w:r>
        <w:rPr>
          <w:color w:val="000000"/>
          <w:kern w:val="0"/>
          <w:szCs w:val="32"/>
        </w:rPr>
        <w:t>收到锦旗</w:t>
      </w:r>
      <w:r>
        <w:rPr>
          <w:rFonts w:hint="eastAsia"/>
          <w:color w:val="000000"/>
          <w:kern w:val="0"/>
          <w:szCs w:val="32"/>
        </w:rPr>
        <w:t>11</w:t>
      </w:r>
      <w:r>
        <w:rPr>
          <w:color w:val="000000"/>
          <w:kern w:val="0"/>
          <w:szCs w:val="32"/>
        </w:rPr>
        <w:t>面，感谢信</w:t>
      </w:r>
      <w:r>
        <w:rPr>
          <w:rFonts w:hint="eastAsia"/>
          <w:color w:val="000000"/>
          <w:kern w:val="0"/>
          <w:szCs w:val="32"/>
        </w:rPr>
        <w:t>5</w:t>
      </w:r>
      <w:r>
        <w:rPr>
          <w:color w:val="000000"/>
          <w:kern w:val="0"/>
          <w:szCs w:val="32"/>
        </w:rPr>
        <w:t>封，政务服务好差评系统长期</w:t>
      </w:r>
      <w:r>
        <w:rPr>
          <w:rFonts w:hint="eastAsia"/>
          <w:color w:val="000000"/>
          <w:kern w:val="0"/>
          <w:szCs w:val="32"/>
        </w:rPr>
        <w:t>保持</w:t>
      </w:r>
      <w:r>
        <w:rPr>
          <w:color w:val="000000"/>
          <w:kern w:val="0"/>
          <w:szCs w:val="32"/>
        </w:rPr>
        <w:t>100%好评率。</w:t>
      </w:r>
    </w:p>
    <w:p>
      <w:pPr>
        <w:spacing w:line="560" w:lineRule="exact"/>
        <w:ind w:firstLineChars="200" w:firstLine="640"/>
        <w:rPr>
          <w:rFonts w:ascii="方正楷体_GBK" w:eastAsia="方正楷体_GBK" w:cs="方正楷体_GBK"/>
          <w:szCs w:val="32"/>
        </w:rPr>
      </w:pPr>
      <w:r>
        <w:rPr>
          <w:rFonts w:ascii="方正楷体_GBK" w:eastAsia="方正楷体_GBK" w:cs="方正楷体_GBK" w:hint="eastAsia"/>
          <w:szCs w:val="32"/>
        </w:rPr>
        <w:t>（四）标准化规范化建设情况</w:t>
      </w:r>
      <w:r>
        <w:rPr>
          <w:rFonts w:ascii="方正楷体_GBK" w:eastAsia="方正楷体_GBK" w:cs="方正楷体_GBK"/>
          <w:szCs w:val="32"/>
        </w:rPr>
        <w:t>。</w:t>
      </w:r>
    </w:p>
    <w:p>
      <w:pPr>
        <w:spacing w:line="560" w:lineRule="exact"/>
        <w:ind w:firstLineChars="200" w:firstLine="640"/>
        <w:rPr>
          <w:szCs w:val="32"/>
        </w:rPr>
      </w:pPr>
      <w:r>
        <w:rPr>
          <w:szCs w:val="32"/>
        </w:rPr>
        <w:t>线下设置政务公开栏，张贴主要业务办理联系电话、办事详解、各类宣传手册等，设置原产地证自助打印机，方便群众办事</w:t>
      </w:r>
      <w:r>
        <w:rPr>
          <w:rFonts w:hint="eastAsia"/>
          <w:szCs w:val="32"/>
        </w:rPr>
        <w:t>“</w:t>
      </w:r>
      <w:r>
        <w:rPr>
          <w:szCs w:val="32"/>
        </w:rPr>
        <w:t>最多跑一次</w:t>
      </w:r>
      <w:r>
        <w:rPr>
          <w:rFonts w:hint="eastAsia"/>
          <w:szCs w:val="32"/>
        </w:rPr>
        <w:t>”</w:t>
      </w:r>
      <w:r>
        <w:rPr>
          <w:szCs w:val="32"/>
        </w:rPr>
        <w:t>；线上利用关企交流群，定期开展政策宣贯和答疑解惑，专人负责电子邮箱管理，确保电子邮箱至少每3个工作日登录</w:t>
      </w:r>
      <w:r>
        <w:rPr>
          <w:rFonts w:hint="eastAsia"/>
          <w:szCs w:val="32"/>
        </w:rPr>
        <w:t>1</w:t>
      </w:r>
      <w:r>
        <w:rPr>
          <w:szCs w:val="32"/>
        </w:rPr>
        <w:t>次，持续提升象山海关</w:t>
      </w:r>
      <w:r>
        <w:rPr>
          <w:rFonts w:hint="eastAsia"/>
          <w:szCs w:val="32"/>
        </w:rPr>
        <w:t>政务公开标准化、规范化水平</w:t>
      </w:r>
      <w:r>
        <w:rPr>
          <w:szCs w:val="32"/>
        </w:rPr>
        <w:t>，有效打通海关服务企业</w:t>
      </w:r>
      <w:r>
        <w:rPr>
          <w:rFonts w:hint="eastAsia"/>
          <w:szCs w:val="32"/>
        </w:rPr>
        <w:t>“</w:t>
      </w:r>
      <w:r>
        <w:rPr>
          <w:szCs w:val="32"/>
        </w:rPr>
        <w:t>最后一公里</w:t>
      </w:r>
      <w:r>
        <w:rPr>
          <w:rFonts w:hint="eastAsia"/>
          <w:szCs w:val="32"/>
        </w:rPr>
        <w:t>”</w:t>
      </w:r>
      <w:r>
        <w:rPr>
          <w:szCs w:val="32"/>
        </w:rPr>
        <w:t>。</w:t>
      </w:r>
    </w:p>
    <w:p>
      <w:pPr>
        <w:pStyle w:val="33"/>
        <w:adjustRightInd w:val="0"/>
        <w:snapToGrid w:val="0"/>
        <w:spacing w:beforeLines="50" w:before="218" w:afterLines="50" w:after="218"/>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19"/>
        <w:gridCol w:w="2183"/>
        <w:gridCol w:w="1936"/>
        <w:gridCol w:w="2156"/>
      </w:tblGrid>
      <w:tr>
        <w:trPr>
          <w:trHeight w:val="495"/>
        </w:trPr>
        <w:tc>
          <w:tcPr>
            <w:tcW w:w="8994"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第二十条第（一）项</w:t>
            </w:r>
          </w:p>
        </w:tc>
      </w:tr>
      <w:tr>
        <w:trPr>
          <w:trHeight w:val="68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28"/>
              <w:widowControl/>
              <w:jc w:val="center"/>
              <w:rPr>
                <w:sz w:val="24"/>
                <w:szCs w:val="24"/>
              </w:rPr>
            </w:pPr>
            <w:r>
              <w:rPr>
                <w:rFonts w:ascii="宋体" w:cs="宋体" w:hint="eastAsia"/>
                <w:kern w:val="0"/>
                <w:sz w:val="24"/>
                <w:szCs w:val="24"/>
              </w:rPr>
              <w:t>现行有效件数</w:t>
            </w:r>
          </w:p>
        </w:tc>
      </w:tr>
      <w:tr>
        <w:trPr>
          <w:trHeight w:val="51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left"/>
              <w:rPr>
                <w:rFonts w:eastAsia="方正仿宋_GBK"/>
                <w:sz w:val="24"/>
                <w:szCs w:val="24"/>
              </w:rPr>
            </w:pPr>
            <w:r>
              <w:rPr>
                <w:rFonts w:eastAsia="方正仿宋_GBK" w:hint="eastAsia"/>
                <w:sz w:val="24"/>
                <w:szCs w:val="24"/>
              </w:rPr>
              <w:t xml:space="preserve">        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1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435"/>
        </w:trPr>
        <w:tc>
          <w:tcPr>
            <w:tcW w:w="8994"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第二十条第（五）项</w:t>
            </w:r>
          </w:p>
        </w:tc>
      </w:tr>
      <w:tr>
        <w:trPr>
          <w:trHeight w:val="68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3"/>
              <w:jc w:val="center"/>
              <w:rPr>
                <w:rFonts w:eastAsia="方正仿宋_GBK" w:cs="宋体"/>
                <w:sz w:val="24"/>
                <w:szCs w:val="24"/>
              </w:rPr>
            </w:pPr>
            <w:r>
              <w:rPr>
                <w:rFonts w:eastAsia="方正仿宋_GBK" w:cs="宋体" w:hint="eastAsia"/>
                <w:sz w:val="24"/>
                <w:szCs w:val="24"/>
              </w:rPr>
              <w:t>0</w:t>
            </w:r>
          </w:p>
        </w:tc>
      </w:tr>
      <w:tr>
        <w:trPr>
          <w:trHeight w:val="406"/>
        </w:trPr>
        <w:tc>
          <w:tcPr>
            <w:tcW w:w="8994"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第二十条第（六）项</w:t>
            </w:r>
          </w:p>
        </w:tc>
      </w:tr>
      <w:tr>
        <w:trPr>
          <w:trHeight w:val="68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5"/>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6</w:t>
            </w:r>
          </w:p>
        </w:tc>
      </w:tr>
      <w:tr>
        <w:trPr>
          <w:trHeight w:val="51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4"/>
              <w:jc w:val="center"/>
              <w:rPr>
                <w:rFonts w:eastAsia="方正仿宋_GBK" w:cs="宋体"/>
                <w:sz w:val="24"/>
                <w:szCs w:val="24"/>
              </w:rPr>
            </w:pPr>
            <w:r>
              <w:rPr>
                <w:rFonts w:eastAsia="方正仿宋_GBK" w:cs="宋体" w:hint="eastAsia"/>
                <w:sz w:val="24"/>
                <w:szCs w:val="24"/>
              </w:rPr>
              <w:t>7</w:t>
            </w:r>
          </w:p>
        </w:tc>
      </w:tr>
      <w:tr>
        <w:trPr>
          <w:trHeight w:val="474"/>
        </w:trPr>
        <w:tc>
          <w:tcPr>
            <w:tcW w:w="8994"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第二十条第（八）项</w:t>
            </w:r>
          </w:p>
        </w:tc>
      </w:tr>
      <w:tr>
        <w:trPr>
          <w:trHeight w:val="68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59"/>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19"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0</w:t>
            </w:r>
          </w:p>
        </w:tc>
      </w:tr>
    </w:tbl>
    <w:p>
      <w:pPr>
        <w:pStyle w:val="16"/>
        <w:tabs>
          <w:tab w:val="center" w:pos="4153"/>
          <w:tab w:val="right" w:pos="8306"/>
        </w:tabs>
      </w:pPr>
    </w:p>
    <w:p>
      <w:pPr>
        <w:pStyle w:val="25"/>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bl>
    <w:p>
      <w:pPr>
        <w:pStyle w:val="16"/>
        <w:tabs>
          <w:tab w:val="center" w:pos="4153"/>
          <w:tab w:val="right" w:pos="8306"/>
        </w:tabs>
      </w:pPr>
    </w:p>
    <w:p>
      <w:pPr>
        <w:pStyle w:val="25"/>
        <w:widowControl/>
        <w:shd w:val="clear" w:color="auto" w:fill="FFFFFF"/>
        <w:spacing w:beforeLines="50" w:before="218"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34"/>
        <w:adjustRightInd w:val="0"/>
        <w:snapToGrid w:val="0"/>
        <w:ind w:firstLineChars="200" w:firstLine="624"/>
      </w:pPr>
      <w:r>
        <w:rPr>
          <w:rFonts w:ascii="方正楷体_GBK" w:eastAsia="方正楷体_GBK" w:hint="eastAsia"/>
          <w:b/>
          <w:bCs/>
        </w:rPr>
        <w:t>（一）2022年年报中所提问题整改情况。</w:t>
      </w:r>
      <w:r>
        <w:rPr>
          <w:rFonts w:hint="eastAsia"/>
        </w:rPr>
        <w:t>2022年象山海关存在的问题为“由于科室人员调整和岗位交流，存在新上岗人员对政务公开业务不熟悉，操作不规范等问题”。今年的主要举措：</w:t>
      </w:r>
      <w:r>
        <w:t>利用</w:t>
      </w:r>
      <w:r>
        <w:rPr>
          <w:rFonts w:hint="eastAsia"/>
        </w:rPr>
        <w:t>“</w:t>
      </w:r>
      <w:r>
        <w:t>青年之家</w:t>
      </w:r>
      <w:r>
        <w:rPr>
          <w:rFonts w:hint="eastAsia"/>
        </w:rPr>
        <w:t>”</w:t>
      </w:r>
      <w:r>
        <w:t>、</w:t>
      </w:r>
      <w:r>
        <w:rPr>
          <w:rFonts w:hint="eastAsia"/>
        </w:rPr>
        <w:t>“</w:t>
      </w:r>
      <w:r>
        <w:t>党员之家</w:t>
      </w:r>
      <w:r>
        <w:rPr>
          <w:rFonts w:hint="eastAsia"/>
        </w:rPr>
        <w:t>”</w:t>
      </w:r>
      <w:r>
        <w:t>平台，定期开展政务公开交流研讨会，学习最新政策文件，</w:t>
      </w:r>
      <w:r>
        <w:rPr>
          <w:rFonts w:hint="eastAsia"/>
        </w:rPr>
        <w:t>提高相关</w:t>
      </w:r>
      <w:r>
        <w:t>工作</w:t>
      </w:r>
      <w:r>
        <w:rPr>
          <w:rFonts w:hint="eastAsia"/>
        </w:rPr>
        <w:t>人员的业务</w:t>
      </w:r>
      <w:r>
        <w:t>能力</w:t>
      </w:r>
      <w:r>
        <w:rPr>
          <w:rFonts w:hint="eastAsia"/>
        </w:rPr>
        <w:t>，</w:t>
      </w:r>
      <w:r>
        <w:t>查漏补缺，</w:t>
      </w:r>
      <w:r>
        <w:rPr>
          <w:rFonts w:hint="eastAsia"/>
        </w:rPr>
        <w:t>避免出现业务差错，</w:t>
      </w:r>
      <w:r>
        <w:t>有力</w:t>
      </w:r>
      <w:r>
        <w:rPr>
          <w:rFonts w:hint="eastAsia"/>
        </w:rPr>
        <w:t>打通海关服务企业群众“最后一公里”</w:t>
      </w:r>
      <w:r>
        <w:rPr>
          <w:rFonts w:hint="eastAsia"/>
          <w:szCs w:val="32"/>
        </w:rPr>
        <w:t>。</w:t>
      </w:r>
    </w:p>
    <w:p>
      <w:pPr>
        <w:pStyle w:val="41"/>
        <w:adjustRightInd w:val="0"/>
        <w:snapToGrid w:val="0"/>
        <w:ind w:firstLineChars="200" w:firstLine="624"/>
      </w:pPr>
      <w:r>
        <w:rPr>
          <w:rFonts w:ascii="方正楷体_GBK" w:eastAsia="方正楷体_GBK" w:hint="eastAsia"/>
          <w:b/>
          <w:bCs/>
        </w:rPr>
        <w:t>（二）目前存在问题。</w:t>
      </w:r>
      <w:r>
        <w:rPr>
          <w:rFonts w:hint="eastAsia"/>
        </w:rPr>
        <w:t>政务公开工作目前主要由办公室牵头主办，存在其他科室人员对政务公开工作流程不够熟悉的问题，工作中有时存在沟通顺不畅的情况</w:t>
      </w:r>
      <w:r>
        <w:t>，偶尔会出现主动公开不及时的情况</w:t>
      </w:r>
      <w:r>
        <w:rPr>
          <w:rFonts w:hint="eastAsia"/>
        </w:rPr>
        <w:t>。下一步将做好对各科室政务公开业务培训，提高</w:t>
      </w:r>
      <w:r>
        <w:t>象山海关</w:t>
      </w:r>
      <w:r>
        <w:rPr>
          <w:rFonts w:hint="eastAsia"/>
        </w:rPr>
        <w:t>政务公开工作质量和效率。</w:t>
      </w:r>
    </w:p>
    <w:p>
      <w:pPr>
        <w:pStyle w:val="34"/>
        <w:adjustRightInd w:val="0"/>
        <w:snapToGrid w:val="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六、其他需要报告的事项</w:t>
      </w:r>
      <w:bookmarkEnd w:id="1"/>
    </w:p>
    <w:p>
      <w:pPr>
        <w:pStyle w:val="40"/>
        <w:adjustRightInd w:val="0"/>
        <w:snapToGrid w:val="0"/>
        <w:ind w:firstLineChars="200" w:firstLine="624"/>
      </w:pPr>
      <w:r>
        <w:t>我关2023年无收取信息处理费情况。</w:t>
      </w:r>
      <w:bookmarkStart w:id="2" w:name="_GoBack"/>
      <w:bookmarkEnd w:id="2"/>
    </w:p>
    <w:sectPr>
      <w:footerReference w:type="default" r:id="rId2"/>
      <w:footerReference w:type="even" r:id="rId3"/>
      <w:footerReference w:type="first" r:id="rId4"/>
      <w:pgSz w:w="11906" w:h="16838"/>
      <w:pgMar w:top="2098" w:right="1474" w:bottom="1985" w:left="1588" w:header="851" w:footer="992" w:gutter="0"/>
      <w:pgNumType w:fmt="numberInDash" w:start="1"/>
      <w:cols w:num="1" w:space="720"/>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方正楷体_GBK"/>
    <w:panose1 w:val="00000000000000000000"/>
    <w:charset w:val="00"/>
    <w:family w:val="auto"/>
    <w:pitch w:val="variable"/>
    <w:sig w:usb0="00000000" w:usb1="00000000" w:usb2="00000000" w:usb3="00000000" w:csb0="0000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Lucida Sans">
    <w:altName w:val="DejaVu Sans"/>
    <w:panose1 w:val="00000000000000000000"/>
    <w:charset w:val="00"/>
    <w:family w:val="swiss"/>
    <w:pitch w:val="variable"/>
    <w:sig w:usb0="00000003" w:usb1="00000000" w:usb2="00000000" w:usb3="00000000" w:csb0="00000001" w:csb1="00000000"/>
  </w:font>
  <w:font w:name="黑体">
    <w:altName w:val="华文细黑"/>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- 3 -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- 4 -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19">
    <w:name w:val="index 5"/>
    <w:basedOn w:val="0"/>
    <w:autoRedefine/>
    <w:next w:val="0"/>
    <w:pPr>
      <w:ind w:left="1680"/>
    </w:p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hAnsi="Times New Roman"/>
      <w:kern w:val="2"/>
      <w:sz w:val="24"/>
      <w:szCs w:val="20"/>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小四"/>
    <w:pPr>
      <w:widowControl w:val="0"/>
    </w:pPr>
    <w:rPr>
      <w:rFonts w:ascii="宋体" w:eastAsia="宋体" w:cs="Times New Roman" w:hAnsi="Times New Roman"/>
      <w:kern w:val="2"/>
      <w:sz w:val="24"/>
      <w:szCs w:val="20"/>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3 小四"/>
    <w:pPr>
      <w:widowControl w:val="0"/>
    </w:pPr>
    <w:rPr>
      <w:rFonts w:ascii="宋体" w:eastAsia="宋体" w:cs="Times New Roman" w:hAnsi="Times New Roman"/>
      <w:kern w:val="2"/>
      <w:sz w:val="24"/>
      <w:szCs w:val="20"/>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Balloon Text"/>
    <w:basedOn w:val="0"/>
    <w:rPr>
      <w:sz w:val="18"/>
      <w:szCs w:val="18"/>
    </w:rPr>
  </w:style>
  <w:style w:type="paragraph" w:customStyle="1" w:styleId="69">
    <w:name w:val="样式 4 小四"/>
    <w:pPr>
      <w:widowControl w:val="0"/>
    </w:pPr>
    <w:rPr>
      <w:rFonts w:ascii="宋体" w:eastAsia="宋体" w:cs="Times New Roman" w:hAnsi="Times New Roman"/>
      <w:kern w:val="2"/>
      <w:sz w:val="24"/>
      <w:szCs w:val="20"/>
      <w:lang w:val="en-US" w:eastAsia="zh-CN" w:bidi="ar-SA"/>
    </w:rPr>
  </w:style>
  <w:style w:type="paragraph" w:customStyle="1" w:styleId="70">
    <w:name w:val="样式 5 小四"/>
    <w:pPr>
      <w:widowControl w:val="0"/>
    </w:pPr>
    <w:rPr>
      <w:rFonts w:ascii="宋体" w:eastAsia="宋体" w:cs="Times New Roman" w:hAnsi="Times New Roman"/>
      <w:kern w:val="2"/>
      <w:sz w:val="24"/>
      <w:szCs w:val="20"/>
      <w:lang w:val="en-US" w:eastAsia="zh-CN" w:bidi="ar-SA"/>
    </w:rPr>
  </w:style>
  <w:style w:type="paragraph" w:customStyle="1" w:styleId="71">
    <w:name w:val="样式 7 小四"/>
    <w:pPr>
      <w:widowControl w:val="0"/>
    </w:pPr>
    <w:rPr>
      <w:rFonts w:ascii="宋体" w:eastAsia="宋体" w:cs="Times New Roman" w:hAnsi="Times New Roman"/>
      <w:kern w:val="2"/>
      <w:sz w:val="24"/>
      <w:szCs w:val="20"/>
      <w:lang w:val="en-US" w:eastAsia="zh-CN" w:bidi="ar-SA"/>
    </w:rPr>
  </w:style>
  <w:style w:type="paragraph" w:customStyle="1" w:styleId="72">
    <w:name w:val="样式 1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3">
    <w:name w:val="样式 8 小四"/>
    <w:pPr>
      <w:widowControl w:val="0"/>
    </w:pPr>
    <w:rPr>
      <w:rFonts w:ascii="宋体" w:eastAsia="宋体" w:cs="Times New Roman" w:hAnsi="Times New Roman"/>
      <w:kern w:val="2"/>
      <w:sz w:val="24"/>
      <w:szCs w:val="20"/>
      <w:lang w:val="en-US" w:eastAsia="zh-CN" w:bidi="ar-SA"/>
    </w:rPr>
  </w:style>
  <w:style w:type="paragraph" w:customStyle="1" w:styleId="74">
    <w:name w:val="样式 1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5">
    <w:name w:val="样式 1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6">
    <w:name w:val="样式 15 三号"/>
    <w:pPr>
      <w:widowControl w:val="0"/>
      <w:jc w:val="both"/>
    </w:pPr>
    <w:rPr>
      <w:rFonts w:ascii="Times New Roman" w:eastAsia="方正仿宋_GBK" w:cs="Times New Roman" w:hAnsi="Times New Roman"/>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C4C9ED18-20CC-4EAD-AA5B-459FFCC7921F}">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141</TotalTime>
  <Application>Yozo_Office27021597764231179</Application>
  <Pages>6</Pages>
  <Words>0</Words>
  <Characters>1761</Characters>
  <Lines>0</Lines>
  <Paragraphs>25</Paragraphs>
  <CharactersWithSpaces>2348</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meihao</cp:lastModifiedBy>
  <cp:revision>38</cp:revision>
  <cp:lastPrinted>2020-01-22T00:43:00Z</cp:lastPrinted>
  <dcterms:created xsi:type="dcterms:W3CDTF">2024-01-08T03:23:00Z</dcterms:created>
  <dcterms:modified xsi:type="dcterms:W3CDTF">2025-05-21T03:28:25Z</dcterms:modified>
</cp:coreProperties>
</file>