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ind w:left="0"/>
        <w:rPr>
          <w:rFonts w:eastAsia="方正小标宋_GBK" w:cs="方正小标宋_GBK"/>
          <w:spacing w:val="-6"/>
          <w:sz w:val="44"/>
          <w:szCs w:val="44"/>
        </w:rPr>
      </w:pPr>
    </w:p>
    <w:p>
      <w:pPr>
        <w:spacing w:line="560" w:lineRule="exact"/>
        <w:ind w:left="0"/>
        <w:jc w:val="center"/>
        <w:rPr>
          <w:rFonts w:eastAsia="方正小标宋_GBK" w:cs="方正小标宋_GBK" w:hint="eastAsia"/>
          <w:spacing w:val="-6"/>
          <w:sz w:val="44"/>
          <w:szCs w:val="44"/>
        </w:rPr>
      </w:pPr>
      <w:r>
        <w:rPr>
          <w:rFonts w:eastAsia="方正小标宋_GBK" w:cs="方正小标宋_GBK" w:hint="eastAsia"/>
          <w:spacing w:val="-6"/>
          <w:sz w:val="44"/>
          <w:szCs w:val="44"/>
        </w:rPr>
        <w:t>宁波海关（本级机关）2025年政府信息公开</w:t>
      </w:r>
    </w:p>
    <w:p>
      <w:pPr>
        <w:spacing w:line="560" w:lineRule="exact"/>
        <w:ind w:left="0"/>
        <w:jc w:val="center"/>
        <w:rPr>
          <w:rFonts w:eastAsia="方正小标宋_GBK" w:cs="方正小标宋_GBK" w:hint="eastAsia"/>
          <w:spacing w:val="-6"/>
          <w:sz w:val="44"/>
          <w:szCs w:val="44"/>
        </w:rPr>
      </w:pPr>
      <w:r>
        <w:rPr>
          <w:rFonts w:eastAsia="方正小标宋_GBK" w:cs="方正小标宋_GBK" w:hint="eastAsia"/>
          <w:spacing w:val="-6"/>
          <w:sz w:val="44"/>
          <w:szCs w:val="44"/>
        </w:rPr>
        <w:t>工作年度报告</w:t>
      </w:r>
    </w:p>
    <w:p>
      <w:pPr>
        <w:spacing w:line="560" w:lineRule="exact"/>
        <w:ind w:left="0"/>
        <w:rPr>
          <w:rFonts w:eastAsia="方正小标宋_GBK" w:cs="方正小标宋_GBK" w:hint="eastAsia"/>
          <w:spacing w:val="-6"/>
          <w:sz w:val="44"/>
          <w:szCs w:val="44"/>
        </w:rPr>
      </w:pPr>
    </w:p>
    <w:p>
      <w:pPr>
        <w:spacing w:line="560" w:lineRule="exact"/>
        <w:ind w:firstLineChars="200" w:firstLine="640"/>
        <w:rPr>
          <w:rFonts w:eastAsia="方正仿宋_GBK" w:cs="方正仿宋_GBK" w:hint="eastAsia"/>
          <w:sz w:val="32"/>
          <w:szCs w:val="32"/>
        </w:rPr>
      </w:pPr>
      <w:r>
        <w:rPr>
          <w:rFonts w:eastAsia="方正仿宋_GBK" w:cs="方正仿宋_GBK" w:hint="eastAsia"/>
          <w:sz w:val="32"/>
          <w:szCs w:val="32"/>
        </w:rPr>
        <w:t>本报告根据《中华人民共和国政府信息公开条例》《国务院办公厅政府信息与政务公开办公室关于印发〈中华人民共和国政府信息公开工作年度报告格式〉的通知》（国办公开办函〔2021〕30号），梳理2025年度宁波海关（本级机关）政府信息公开工作情况编制而成。报告中所列数据的统计期限，自2025年1月1日起至2025年12月31日止。如对报告有疑问或任何意见、建议，请联系宁波海关办公室综合科，地址：浙江省宁波市海曙区马园路89号，邮编：315012；电话：0574—89091714；电子邮箱：nbhgzwgk@customs.gov.cn。</w:t>
      </w:r>
    </w:p>
    <w:p>
      <w:pPr>
        <w:spacing w:line="560" w:lineRule="exact"/>
        <w:ind w:firstLineChars="200" w:firstLine="640"/>
        <w:rPr>
          <w:rFonts w:eastAsia="方正黑体_GBK" w:cs="方正黑体_GBK" w:hint="eastAsia"/>
          <w:sz w:val="32"/>
          <w:szCs w:val="32"/>
        </w:rPr>
      </w:pPr>
      <w:r>
        <w:rPr>
          <w:rFonts w:eastAsia="方正黑体_GBK" w:cs="方正黑体_GBK" w:hint="eastAsia"/>
          <w:sz w:val="32"/>
          <w:szCs w:val="32"/>
        </w:rPr>
        <w:t>一、总体情况</w:t>
      </w:r>
    </w:p>
    <w:p>
      <w:pPr>
        <w:spacing w:line="560" w:lineRule="exact"/>
        <w:ind w:firstLineChars="200" w:firstLine="640"/>
        <w:rPr>
          <w:rFonts w:eastAsia="方正仿宋_GBK" w:cs="方正仿宋_GBK" w:hint="eastAsia"/>
          <w:sz w:val="32"/>
          <w:szCs w:val="32"/>
        </w:rPr>
      </w:pPr>
      <w:r>
        <w:rPr>
          <w:rFonts w:eastAsia="方正楷体_GBK" w:cs="方正楷体_GBK" w:hint="eastAsia"/>
          <w:sz w:val="32"/>
          <w:szCs w:val="32"/>
        </w:rPr>
        <w:t>（一）主动公开方面。</w:t>
      </w:r>
      <w:r>
        <w:rPr>
          <w:rFonts w:eastAsia="方正仿宋_GBK" w:cs="方正仿宋_GBK" w:hint="eastAsia"/>
          <w:sz w:val="32"/>
          <w:szCs w:val="32"/>
        </w:rPr>
        <w:t>秉承阳光透明的理念，严格做到法定公开事项主动公开到位，门户网站发布法定主动公开政府信息2428条。其中，履职依据信息106条、统计信息78条、行政许可和行政处罚决定信息1561条、政府采购信息149条、人事信息16条、财政信息55条、“双随机</w:t>
      </w:r>
      <w:r>
        <w:rPr>
          <w:rFonts w:eastAsia="方正仿宋_GBK" w:cs="方正仿宋_GBK"/>
          <w:sz w:val="32"/>
          <w:szCs w:val="32"/>
        </w:rPr>
        <w:t>、</w:t>
      </w:r>
      <w:r>
        <w:rPr>
          <w:rFonts w:eastAsia="方正仿宋_GBK" w:cs="方正仿宋_GBK" w:hint="eastAsia"/>
          <w:sz w:val="32"/>
          <w:szCs w:val="32"/>
        </w:rPr>
        <w:t>一公开”结果信息429条、其他信息34条。</w:t>
      </w:r>
    </w:p>
    <w:p>
      <w:pPr>
        <w:spacing w:line="560" w:lineRule="exact"/>
        <w:ind w:firstLineChars="200" w:firstLine="640"/>
        <w:rPr>
          <w:rFonts w:eastAsia="方正仿宋_GBK" w:cs="方正仿宋_GBK" w:hint="eastAsia"/>
          <w:sz w:val="32"/>
          <w:szCs w:val="32"/>
        </w:rPr>
      </w:pPr>
      <w:r>
        <w:rPr>
          <w:rFonts w:eastAsia="方正楷体_GBK" w:cs="方正楷体_GBK" w:hint="eastAsia"/>
          <w:sz w:val="32"/>
          <w:szCs w:val="32"/>
        </w:rPr>
        <w:t>（二）依申请公开方面。</w:t>
      </w:r>
      <w:r>
        <w:rPr>
          <w:rFonts w:eastAsia="方正仿宋_GBK" w:cs="方正仿宋_GBK" w:hint="eastAsia"/>
          <w:sz w:val="32"/>
          <w:szCs w:val="32"/>
        </w:rPr>
        <w:t>2025年宁波海关</w:t>
      </w:r>
      <w:r>
        <w:rPr>
          <w:rFonts w:eastAsia="方正仿宋_GBK" w:cs="方正仿宋_GBK"/>
          <w:sz w:val="32"/>
          <w:szCs w:val="32"/>
        </w:rPr>
        <w:t>（</w:t>
      </w:r>
      <w:r>
        <w:rPr>
          <w:rFonts w:eastAsia="方正仿宋_GBK" w:cs="方正仿宋_GBK" w:hint="eastAsia"/>
          <w:sz w:val="32"/>
          <w:szCs w:val="32"/>
        </w:rPr>
        <w:t>本级机关</w:t>
      </w:r>
      <w:r>
        <w:rPr>
          <w:rFonts w:eastAsia="方正仿宋_GBK" w:cs="方正仿宋_GBK"/>
          <w:sz w:val="32"/>
          <w:szCs w:val="32"/>
        </w:rPr>
        <w:t>）</w:t>
      </w:r>
      <w:r>
        <w:rPr>
          <w:rFonts w:eastAsia="方正仿宋_GBK" w:cs="方正仿宋_GBK" w:hint="eastAsia"/>
          <w:sz w:val="32"/>
          <w:szCs w:val="32"/>
        </w:rPr>
        <w:t>收到政府信息公开申请39件，含4件“法人”申请。答复类型中，“予以公开”0件、“部分公开”0件、“无法提供”（本机关不掌握相关政府信息）2件、“不予处理”7件、“其他处理”30件。及时接听政府信息公开电话，耐心热情解答各类问题，做好沟通引导和释法明理，本年度依申请公开方面无复议、诉讼事项。</w:t>
      </w:r>
    </w:p>
    <w:p>
      <w:pPr>
        <w:spacing w:line="560" w:lineRule="exact"/>
        <w:ind w:firstLineChars="200" w:firstLine="640"/>
        <w:rPr>
          <w:rFonts w:eastAsia="方正仿宋_GBK" w:cs="方正仿宋_GBK" w:hint="eastAsia"/>
          <w:sz w:val="32"/>
          <w:szCs w:val="32"/>
        </w:rPr>
      </w:pPr>
      <w:r>
        <w:rPr>
          <w:rFonts w:eastAsia="方正楷体_GBK" w:cs="方正楷体_GBK" w:hint="eastAsia"/>
          <w:sz w:val="32"/>
          <w:szCs w:val="32"/>
        </w:rPr>
        <w:t>（三）政府信息管理方面。</w:t>
      </w:r>
      <w:r>
        <w:rPr>
          <w:rFonts w:eastAsia="方正仿宋_GBK" w:cs="方正仿宋_GBK" w:hint="eastAsia"/>
          <w:sz w:val="32"/>
          <w:szCs w:val="32"/>
        </w:rPr>
        <w:t>完善主动公开信息季度性清理机制，按照海关总署统一设置的对外发布期限要求，及时清理下架到期信息，保障</w:t>
      </w:r>
      <w:r>
        <w:rPr>
          <w:rFonts w:eastAsia="方正仿宋_GBK" w:cs="方正仿宋_GBK"/>
          <w:sz w:val="32"/>
          <w:szCs w:val="32"/>
        </w:rPr>
        <w:t>政府</w:t>
      </w:r>
      <w:r>
        <w:rPr>
          <w:rFonts w:eastAsia="方正仿宋_GBK" w:cs="方正仿宋_GBK" w:hint="eastAsia"/>
          <w:sz w:val="32"/>
          <w:szCs w:val="32"/>
        </w:rPr>
        <w:t>信息公开安全。修订政府信息公开保密审查规程，</w:t>
      </w:r>
      <w:r>
        <w:rPr>
          <w:rFonts w:eastAsia="方正仿宋_GBK" w:cs="方正仿宋_GBK"/>
          <w:sz w:val="32"/>
          <w:szCs w:val="32"/>
        </w:rPr>
        <w:t>更新保密审查事项，</w:t>
      </w:r>
      <w:r>
        <w:rPr>
          <w:rFonts w:eastAsia="方正仿宋_GBK" w:cs="方正仿宋_GBK" w:hint="eastAsia"/>
          <w:sz w:val="32"/>
          <w:szCs w:val="32"/>
        </w:rPr>
        <w:t>坚持“先审查、后公开”和“一事一审”原则，</w:t>
      </w:r>
      <w:r>
        <w:rPr>
          <w:rFonts w:eastAsia="方正仿宋_GBK" w:cs="方正仿宋_GBK"/>
          <w:sz w:val="32"/>
          <w:szCs w:val="32"/>
        </w:rPr>
        <w:t>对未依规履行</w:t>
      </w:r>
      <w:r>
        <w:rPr>
          <w:rFonts w:eastAsia="方正仿宋_GBK" w:cs="方正仿宋_GBK" w:hint="eastAsia"/>
          <w:sz w:val="32"/>
          <w:szCs w:val="32"/>
        </w:rPr>
        <w:t>审查</w:t>
      </w:r>
      <w:r>
        <w:rPr>
          <w:rFonts w:eastAsia="方正仿宋_GBK" w:cs="方正仿宋_GBK"/>
          <w:sz w:val="32"/>
          <w:szCs w:val="32"/>
        </w:rPr>
        <w:t>责任的部门、单位进行通报批评</w:t>
      </w:r>
      <w:r>
        <w:rPr>
          <w:rFonts w:eastAsia="方正仿宋_GBK" w:cs="方正仿宋_GBK" w:hint="eastAsia"/>
          <w:sz w:val="32"/>
          <w:szCs w:val="32"/>
        </w:rPr>
        <w:t>。加强关区网站信息纠错工作机制推广运行，发挥广大干部职工力量推动信息发布更加准确、高效。</w:t>
      </w:r>
    </w:p>
    <w:p>
      <w:pPr>
        <w:spacing w:line="560" w:lineRule="exact"/>
        <w:ind w:firstLineChars="200" w:firstLine="640"/>
        <w:rPr>
          <w:rFonts w:eastAsia="方正仿宋_GBK" w:cs="方正仿宋_GBK" w:hint="eastAsia"/>
          <w:sz w:val="32"/>
          <w:szCs w:val="32"/>
        </w:rPr>
      </w:pPr>
      <w:r>
        <w:rPr>
          <w:rFonts w:eastAsia="方正楷体_GBK" w:cs="方正楷体_GBK" w:hint="eastAsia"/>
          <w:sz w:val="32"/>
          <w:szCs w:val="32"/>
        </w:rPr>
        <w:t>（四）平台建设方面。</w:t>
      </w:r>
      <w:r>
        <w:rPr>
          <w:rFonts w:eastAsia="方正仿宋_GBK" w:cs="方正仿宋_GBK" w:hint="eastAsia"/>
          <w:sz w:val="32"/>
          <w:szCs w:val="32"/>
        </w:rPr>
        <w:t>常态化开展日常巡网和季度检查，探索AI应用</w:t>
      </w:r>
      <w:r>
        <w:rPr>
          <w:rFonts w:eastAsia="方正仿宋_GBK" w:cs="方正仿宋_GBK"/>
          <w:sz w:val="32"/>
          <w:szCs w:val="32"/>
        </w:rPr>
        <w:t>模式</w:t>
      </w:r>
      <w:r>
        <w:rPr>
          <w:rFonts w:eastAsia="方正仿宋_GBK" w:cs="方正仿宋_GBK" w:hint="eastAsia"/>
          <w:sz w:val="32"/>
          <w:szCs w:val="32"/>
        </w:rPr>
        <w:t>，加强发布信息准确性，提高信息发布质量。加强政务新媒体管理运维，全年“阿拉甬关”微信公众号刊发767篇、视频号刊发272条、“宁波海关发布”微博刊发885条，三者累计点击量超过340万人次。“阿拉甬关”微信公众号首次获评“创四优”竞赛优秀账号。</w:t>
      </w:r>
    </w:p>
    <w:p>
      <w:pPr>
        <w:spacing w:line="56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楷体_GBK" w:cs="方正楷体_GBK" w:hint="eastAsia"/>
          <w:sz w:val="32"/>
          <w:szCs w:val="32"/>
        </w:rPr>
        <w:t>（五）监督保障方面。</w:t>
      </w:r>
      <w:r>
        <w:rPr>
          <w:rFonts w:eastAsia="方正仿宋_GBK" w:cs="方正仿宋_GBK" w:hint="eastAsia"/>
          <w:sz w:val="32"/>
          <w:szCs w:val="32"/>
        </w:rPr>
        <w:t>积极回应社会关切，办理人大代表建议和政协提案33份，解决率、满意率均达到100%。按时回应信访咨询，办理“关长信箱”248件、“信访留言”35件、“业务咨询”397件。发挥“12360”海关热线作用，接听电话26288个，接通率99.7%。</w:t>
      </w:r>
    </w:p>
    <w:p>
      <w:pPr>
        <w:pStyle w:val="29"/>
        <w:adjustRightInd w:val="0"/>
        <w:snapToGrid w:val="0"/>
        <w:spacing w:beforeLines="50" w:before="156" w:afterLines="50" w:after="156"/>
        <w:ind w:firstLineChars="200" w:firstLine="624"/>
        <w:rPr>
          <w:rFonts w:eastAsia="方正黑体_GBK" w:cs="楷体_GB2312" w:hint="eastAsia"/>
          <w:bCs/>
          <w:sz w:val="32"/>
          <w:szCs w:val="32"/>
          <w:lang w:bidi="ar-SA"/>
        </w:rPr>
      </w:pPr>
      <w:r>
        <w:rPr>
          <w:rFonts w:eastAsia="方正黑体_GBK" w:cs="楷体_GB2312" w:hint="eastAsia"/>
          <w:bCs/>
          <w:sz w:val="32"/>
          <w:szCs w:val="32"/>
          <w:lang w:bidi="ar-SA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color w:val="auto"/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本年废止件</w:t>
            </w:r>
            <w:r>
              <w:rPr>
                <w:color w:val="auto"/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2640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18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9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</w:tbl>
    <w:p>
      <w:pPr>
        <w:pStyle w:val="29"/>
        <w:adjustRightInd w:val="0"/>
        <w:snapToGrid w:val="0"/>
        <w:spacing w:beforeLines="50" w:before="156" w:afterLines="50" w:after="156"/>
        <w:ind w:firstLineChars="200" w:firstLine="624"/>
        <w:rPr>
          <w:rFonts w:eastAsia="方正黑体_GBK" w:cs="楷体_GB2312" w:hint="eastAsia"/>
          <w:bCs/>
          <w:szCs w:val="32"/>
        </w:rPr>
      </w:pPr>
      <w:bookmarkStart w:id="0" w:name="_GoBack"/>
      <w:bookmarkEnd w:id="0"/>
      <w:r>
        <w:rPr>
          <w:rFonts w:eastAsia="方正黑体_GBK" w:cs="楷体_GB2312" w:hint="eastAsia"/>
          <w:bCs/>
          <w:szCs w:val="32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  <w:lang w:bidi="ar-SA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  <w:lang w:bidi="ar-SA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  <w:lang w:bidi="ar-SA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  <w:lang w:bidi="ar-SA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  <w:lang w:bidi="ar-SA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  <w:lang w:bidi="ar-SA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  <w:lang w:bidi="ar-SA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  <w:lang w:bidi="ar-SA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0"/>
                <w:szCs w:val="20"/>
                <w:lang w:bidi="ar-SA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0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39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0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7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0"/>
              <w:widowControl/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0"/>
              <w:widowControl/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0"/>
              <w:widowControl/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23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0"/>
              <w:widowControl/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7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eastAsia="楷体" w:cs="楷体" w:hint="eastAsia"/>
                <w:color w:val="auto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39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left"/>
              <w:rPr>
                <w:color w:val="auto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29"/>
        <w:adjustRightInd w:val="0"/>
        <w:snapToGrid w:val="0"/>
        <w:spacing w:beforeLines="50" w:before="156" w:afterLines="50" w:after="156"/>
        <w:ind w:firstLineChars="200" w:firstLine="624"/>
        <w:rPr>
          <w:rFonts w:eastAsia="方正黑体_GBK" w:cs="楷体_GB2312" w:hint="eastAsia"/>
          <w:bCs/>
          <w:szCs w:val="32"/>
          <w:lang w:bidi="ar-SA"/>
        </w:rPr>
      </w:pPr>
      <w:r>
        <w:rPr>
          <w:rFonts w:eastAsia="方正黑体_GBK" w:cs="楷体_GB2312" w:hint="eastAsia"/>
          <w:bCs/>
          <w:szCs w:val="32"/>
          <w:lang w:bidi="ar-SA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9"/>
        <w:adjustRightInd w:val="0"/>
        <w:snapToGrid w:val="0"/>
        <w:ind w:firstLineChars="200" w:firstLine="624"/>
        <w:rPr>
          <w:rFonts w:eastAsia="方正黑体_GBK" w:cs="楷体_GB2312" w:hint="eastAsia"/>
          <w:bCs/>
          <w:szCs w:val="32"/>
        </w:rPr>
      </w:pPr>
    </w:p>
    <w:p>
      <w:pPr>
        <w:pStyle w:val="29"/>
        <w:adjustRightInd w:val="0"/>
        <w:snapToGrid w:val="0"/>
        <w:ind w:firstLineChars="200" w:firstLine="624"/>
        <w:rPr>
          <w:rFonts w:eastAsia="方正黑体_GBK" w:cs="楷体_GB2312" w:hint="eastAsia"/>
          <w:bCs/>
          <w:szCs w:val="32"/>
        </w:rPr>
      </w:pPr>
      <w:r>
        <w:rPr>
          <w:rFonts w:eastAsia="方正黑体_GBK" w:cs="楷体_GB2312" w:hint="eastAsia"/>
          <w:bCs/>
          <w:szCs w:val="32"/>
        </w:rPr>
        <w:t>五、存在的主要问题及改进情况</w:t>
      </w:r>
    </w:p>
    <w:p>
      <w:pPr>
        <w:spacing w:line="560" w:lineRule="exact"/>
        <w:ind w:firstLineChars="200" w:firstLine="640"/>
        <w:rPr>
          <w:rFonts w:eastAsia="方正楷体_GBK" w:cs="方正楷体_GBK"/>
          <w:b/>
          <w:bCs/>
          <w:sz w:val="32"/>
          <w:szCs w:val="32"/>
        </w:rPr>
      </w:pPr>
      <w:r>
        <w:rPr>
          <w:rFonts w:eastAsia="方正楷体_GBK" w:cs="方正楷体_GBK" w:hint="eastAsia"/>
          <w:b/>
          <w:bCs/>
          <w:sz w:val="32"/>
          <w:szCs w:val="32"/>
        </w:rPr>
        <w:t>（一）202</w:t>
      </w:r>
      <w:r>
        <w:rPr>
          <w:rFonts w:eastAsia="方正楷体_GBK" w:cs="方正楷体_GBK"/>
          <w:b/>
          <w:bCs/>
          <w:sz w:val="32"/>
          <w:szCs w:val="32"/>
        </w:rPr>
        <w:t>4</w:t>
      </w:r>
      <w:r>
        <w:rPr>
          <w:rFonts w:eastAsia="方正楷体_GBK" w:cs="方正楷体_GBK" w:hint="eastAsia"/>
          <w:b/>
          <w:bCs/>
          <w:sz w:val="32"/>
          <w:szCs w:val="32"/>
        </w:rPr>
        <w:t>年年报中所提问题整改情况。</w:t>
      </w:r>
    </w:p>
    <w:p>
      <w:pPr>
        <w:spacing w:line="560" w:lineRule="exact"/>
        <w:ind w:firstLineChars="200" w:firstLine="640"/>
        <w:rPr>
          <w:rFonts w:eastAsia="方正仿宋_GBK" w:cs="方正仿宋_GBK" w:hint="eastAsia"/>
          <w:sz w:val="32"/>
          <w:szCs w:val="32"/>
        </w:rPr>
      </w:pPr>
      <w:r>
        <w:rPr>
          <w:rFonts w:eastAsia="方正仿宋_GBK" w:cs="方正仿宋_GBK" w:hint="eastAsia"/>
          <w:bCs/>
          <w:sz w:val="32"/>
          <w:szCs w:val="32"/>
        </w:rPr>
        <w:t>202</w:t>
      </w:r>
      <w:r>
        <w:rPr>
          <w:rFonts w:eastAsia="方正仿宋_GBK" w:cs="方正仿宋_GBK"/>
          <w:bCs/>
          <w:sz w:val="32"/>
          <w:szCs w:val="32"/>
        </w:rPr>
        <w:t>4</w:t>
      </w:r>
      <w:r>
        <w:rPr>
          <w:rFonts w:eastAsia="方正仿宋_GBK" w:cs="方正仿宋_GBK" w:hint="eastAsia"/>
          <w:bCs/>
          <w:sz w:val="32"/>
          <w:szCs w:val="32"/>
        </w:rPr>
        <w:t>年政府信息公开工作存在的问题有：</w:t>
      </w:r>
      <w:r>
        <w:rPr>
          <w:rFonts w:eastAsia="方正仿宋_GBK" w:cs="方正仿宋_GBK"/>
          <w:bCs/>
          <w:sz w:val="32"/>
          <w:szCs w:val="32"/>
        </w:rPr>
        <w:t>机关部门依申请公开办理思路还不够清晰，还需加强制度文件以及典型案例学习。</w:t>
      </w:r>
      <w:r>
        <w:rPr>
          <w:rFonts w:eastAsia="方正仿宋_GBK" w:cs="方正仿宋_GBK" w:hint="eastAsia"/>
          <w:bCs/>
          <w:sz w:val="32"/>
          <w:szCs w:val="32"/>
        </w:rPr>
        <w:t>202</w:t>
      </w:r>
      <w:r>
        <w:rPr>
          <w:rFonts w:eastAsia="方正仿宋_GBK" w:cs="方正仿宋_GBK"/>
          <w:bCs/>
          <w:sz w:val="32"/>
          <w:szCs w:val="32"/>
        </w:rPr>
        <w:t>5</w:t>
      </w:r>
      <w:r>
        <w:rPr>
          <w:rFonts w:eastAsia="方正仿宋_GBK" w:cs="方正仿宋_GBK" w:hint="eastAsia"/>
          <w:bCs/>
          <w:sz w:val="32"/>
          <w:szCs w:val="32"/>
        </w:rPr>
        <w:t>年，宁波海关采取以下措施进行整改：</w:t>
      </w:r>
      <w:r>
        <w:rPr>
          <w:rFonts w:eastAsia="方正仿宋_GBK" w:cs="方正仿宋_GBK"/>
          <w:bCs/>
          <w:sz w:val="32"/>
          <w:szCs w:val="32"/>
        </w:rPr>
        <w:t>修订关区政府信息公开工作制度，进一步明确职责分工；开设专题培训班进行系统培训，指导隶属海关做好政府信息公开申请的办理答复；总结提炼关区依申请公开经验做法形成典型案例向总署推介，并在关区推广运用</w:t>
      </w:r>
      <w:r>
        <w:rPr>
          <w:rFonts w:eastAsia="方正仿宋_GBK" w:cs="方正仿宋_GBK" w:hint="eastAsia"/>
          <w:bCs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仿宋_GBK" w:cs="方正仿宋_GBK" w:hint="eastAsia"/>
          <w:b/>
          <w:bCs/>
          <w:sz w:val="32"/>
          <w:szCs w:val="32"/>
        </w:rPr>
      </w:pPr>
      <w:r>
        <w:rPr>
          <w:rFonts w:eastAsia="方正楷体_GBK" w:cs="方正楷体_GBK" w:hint="eastAsia"/>
          <w:b/>
          <w:bCs/>
          <w:sz w:val="32"/>
          <w:szCs w:val="32"/>
        </w:rPr>
        <w:t>（二）目前存在问题。</w:t>
      </w:r>
    </w:p>
    <w:p>
      <w:pPr>
        <w:spacing w:line="560" w:lineRule="exact"/>
        <w:ind w:firstLineChars="200" w:firstLine="640"/>
        <w:rPr>
          <w:rFonts w:eastAsia="方正仿宋_GBK" w:cs="方正仿宋_GBK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对《中华人民共和国政府信息公开条例》的学习理解还不够到位，对关区依申请公开工作的指导还不够准确。</w:t>
      </w:r>
    </w:p>
    <w:p>
      <w:pPr>
        <w:pStyle w:val="29"/>
        <w:adjustRightInd w:val="0"/>
        <w:snapToGrid w:val="0"/>
        <w:ind w:firstLineChars="200" w:firstLine="624"/>
        <w:rPr>
          <w:rFonts w:eastAsia="方正黑体_GBK" w:cs="楷体_GB2312" w:hint="eastAsia"/>
          <w:bCs/>
          <w:szCs w:val="32"/>
        </w:rPr>
      </w:pPr>
      <w:r>
        <w:rPr>
          <w:rFonts w:eastAsia="方正黑体_GBK" w:cs="楷体_GB2312" w:hint="eastAsia"/>
          <w:bCs/>
          <w:szCs w:val="32"/>
        </w:rPr>
        <w:t>六、其他需要报告的事项</w:t>
      </w:r>
    </w:p>
    <w:p>
      <w:pPr>
        <w:spacing w:line="560" w:lineRule="exact"/>
        <w:ind w:firstLineChars="200" w:firstLine="640"/>
        <w:rPr>
          <w:rFonts w:eastAsia="方正仿宋_GBK" w:cs="方正仿宋_GBK" w:hint="eastAsia"/>
          <w:sz w:val="32"/>
          <w:szCs w:val="32"/>
        </w:rPr>
      </w:pPr>
      <w:r>
        <w:rPr>
          <w:rFonts w:eastAsia="方正仿宋_GBK" w:cs="方正仿宋_GBK"/>
          <w:sz w:val="32"/>
          <w:szCs w:val="32"/>
        </w:rPr>
        <w:t>宁波海关（本级机关）2025年无收取信息处理费情况。</w:t>
      </w: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方正楷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楷体">
    <w:altName w:val="方正楷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华文细黑"/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Wingdings">
    <w:altName w:val="DejaVu Sans"/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39472E63"/>
    <w:multiLevelType w:val="singleLevel"/>
    <w:tmpl w:val="00000000"/>
    <w:lvl w:ilvl="0">
      <w:start w:val="1"/>
      <w:numFmt w:val="bullet"/>
      <w:lvlRestart w:val="0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1">
    <w:nsid w:val="42EFC0F8"/>
    <w:multiLevelType w:val="singleLevel"/>
    <w:tmpl w:val="00000000"/>
    <w:lvl w:ilvl="0">
      <w:start w:val="1"/>
      <w:numFmt w:val="bullet"/>
      <w:lvlRestart w:val="0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2">
    <w:nsid w:val="5ABFCC05"/>
    <w:multiLevelType w:val="single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1620"/>
        </w:tabs>
        <w:ind w:left="16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2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6"/>
    <w:basedOn w:val="0"/>
    <w:autoRedefine/>
    <w:next w:val="0"/>
    <w:pPr>
      <w:ind w:left="2100"/>
    </w:pPr>
  </w:style>
  <w:style w:type="paragraph" w:styleId="16">
    <w:name w:val="toc 7"/>
    <w:basedOn w:val="0"/>
    <w:autoRedefine/>
    <w:next w:val="0"/>
    <w:pPr>
      <w:ind w:left="2520"/>
    </w:pPr>
  </w:style>
  <w:style w:type="paragraph" w:styleId="17">
    <w:name w:val="toc 8"/>
    <w:basedOn w:val="0"/>
    <w:autoRedefine/>
    <w:next w:val="0"/>
    <w:pPr>
      <w:ind w:left="2940"/>
    </w:pPr>
  </w:style>
  <w:style w:type="paragraph" w:styleId="18">
    <w:name w:val="footnote text"/>
    <w:basedOn w:val="0"/>
    <w:pPr>
      <w:snapToGrid w:val="0"/>
      <w:jc w:val="left"/>
    </w:pPr>
    <w:rPr>
      <w:sz w:val="18"/>
    </w:rPr>
  </w:style>
  <w:style w:type="paragraph" w:styleId="19">
    <w:name w:val="footer"/>
    <w:basedOn w:val="0"/>
    <w:next w:val="15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styleId="20">
    <w:name w:val="table of authorities"/>
    <w:basedOn w:val="0"/>
    <w:next w:val="0"/>
    <w:pPr>
      <w:ind w:left="420"/>
    </w:pPr>
  </w:style>
  <w:style w:type="paragraph" w:styleId="21">
    <w:name w:val="toa heading"/>
    <w:basedOn w:val="0"/>
    <w:next w:val="0"/>
    <w:pPr>
      <w:spacing w:before="120"/>
    </w:pPr>
    <w:rPr>
      <w:rFonts w:ascii="Arial" w:hAnsi="Arial"/>
      <w:sz w:val="24"/>
    </w:rPr>
  </w:style>
  <w:style w:type="paragraph" w:styleId="22">
    <w:name w:val="List Bullet 3"/>
    <w:basedOn w:val="0"/>
    <w:pPr>
      <w:numPr>
        <w:ilvl w:val="0"/>
        <w:numId w:val="1"/>
      </w:numPr>
    </w:pPr>
  </w:style>
  <w:style w:type="paragraph" w:styleId="23">
    <w:name w:val="List Bullet 5"/>
    <w:basedOn w:val="0"/>
    <w:pPr>
      <w:numPr>
        <w:ilvl w:val="0"/>
        <w:numId w:val="2"/>
      </w:numPr>
    </w:pPr>
  </w:style>
  <w:style w:type="paragraph" w:styleId="24">
    <w:name w:val="List Number 4"/>
    <w:basedOn w:val="0"/>
    <w:pPr>
      <w:numPr>
        <w:ilvl w:val="0"/>
        <w:numId w:val="3"/>
      </w:numPr>
    </w:pPr>
  </w:style>
  <w:style w:type="paragraph" w:styleId="25">
    <w:name w:val="Signature"/>
    <w:basedOn w:val="0"/>
    <w:pPr>
      <w:ind w:left="4320"/>
    </w:pPr>
  </w:style>
  <w:style w:type="paragraph" w:styleId="26">
    <w:name w:val="List Continue 2"/>
    <w:basedOn w:val="0"/>
    <w:pPr>
      <w:spacing w:after="120"/>
      <w:ind w:left="840"/>
    </w:pPr>
  </w:style>
  <w:style w:type="paragraph" w:styleId="27">
    <w:name w:val="List Continue 3"/>
    <w:basedOn w:val="0"/>
    <w:pPr>
      <w:spacing w:after="120"/>
      <w:ind w:left="1260"/>
    </w:pPr>
  </w:style>
  <w:style w:type="paragraph" w:styleId="28">
    <w:name w:val="Normal (Web)"/>
    <w:basedOn w:val="0"/>
    <w:rPr>
      <w:sz w:val="24"/>
    </w:rPr>
  </w:style>
  <w:style w:type="paragraph" w:customStyle="1" w:styleId="29">
    <w:name w:val="样式 5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0">
    <w:name w:val="样式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2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">
    <w:name w:val="样式 小四"/>
    <w:pPr>
      <w:widowControl w:val="0"/>
      <w:spacing w:beforeAutospacing="1" w:afterAutospacing="1"/>
      <w:jc w:val="left"/>
    </w:pPr>
    <w:rPr>
      <w:rFonts w:ascii="Times New Roman" w:eastAsia="宋体" w:cs="Times New Roman" w:hAnsi="Times New Roman"/>
      <w:kern w:val="0"/>
      <w:sz w:val="24"/>
      <w:szCs w:val="30"/>
      <w:lang w:val="en-US" w:eastAsia="zh-CN" w:bidi="ar-SA"/>
    </w:rPr>
  </w:style>
  <w:style w:type="paragraph" w:customStyle="1" w:styleId="38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9">
    <w:name w:val="样式 1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0">
    <w:name w:val="样式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0"/>
      <w:lang w:val="en-US" w:eastAsia="zh-CN" w:bidi="ar-SA"/>
    </w:rPr>
  </w:style>
  <w:style w:type="paragraph" w:customStyle="1" w:styleId="41">
    <w:name w:val="样式 1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"/>
    <sectPr/>
  </customProps>
</customData>
</file>

<file path=customXml/itemProps1.xml><?xml version="1.0" encoding="utf-8"?>
<ds:datastoreItem xmlns:ds="http://schemas.openxmlformats.org/officeDocument/2006/customXml" ds:itemID="{D691C4D2-4CF6-4B37-BC6B-404FC1B8D243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1228</TotalTime>
  <Application>Yozo_Office27021597764231179</Application>
  <Pages>6</Pages>
  <Words>0</Words>
  <Characters>2017</Characters>
  <Lines>0</Lines>
  <Paragraphs>25</Paragraphs>
  <CharactersWithSpaces>2690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user</cp:lastModifiedBy>
  <cp:revision>1</cp:revision>
  <cp:lastPrinted>2026-01-20T07:04:31Z</cp:lastPrinted>
  <dcterms:created xsi:type="dcterms:W3CDTF">2026-01-15T11:27:49Z</dcterms:created>
  <dcterms:modified xsi:type="dcterms:W3CDTF">2026-02-02T01:50:42Z</dcterms:modified>
</cp:coreProperties>
</file>