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9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宁波海关（本级机关）2023年政府信息公开工作年度报告</w:t>
      </w:r>
      <w:bookmarkEnd w:id="0"/>
    </w:p>
    <w:p>
      <w:pPr>
        <w:pStyle w:val="33"/>
        <w:adjustRightInd w:val="0"/>
        <w:snapToGrid w:val="0"/>
        <w:ind w:firstLineChars="200" w:firstLine="624"/>
        <w:rPr>
          <w:rFonts w:cs="Arial"/>
          <w:szCs w:val="32"/>
        </w:rPr>
      </w:pPr>
    </w:p>
    <w:p>
      <w:pPr>
        <w:pStyle w:val="33"/>
        <w:adjustRightInd w:val="0"/>
        <w:snapToGrid w:val="0"/>
        <w:ind w:firstLineChars="200" w:firstLine="624"/>
        <w:rPr>
          <w:rFonts w:cs="Arial"/>
          <w:szCs w:val="32"/>
        </w:rPr>
      </w:pPr>
      <w:r>
        <w:rPr>
          <w:rFonts w:cs="Arial" w:hint="eastAsia"/>
          <w:szCs w:val="32"/>
        </w:rPr>
        <w:t>本报告根据《中华人民共和国政府信息公开条例》《国务院办公厅政府信息与政务公开办公室关于印发〈中华人民共和国政府信息公开工作年度报告格式〉的通知》（国办公开办函〔2021〕30号），梳理2023年度宁波海关（本级机关）政府信息公开工作情况编制而成。报告中所列数据的统计期限，自2023年1月1日起至2023年12月31日止。如对报告有疑问或任何意见、建议，请联系宁波海关办公室综合科，地址：浙江省宁波市海曙区马园路89号，邮编：315012；电话：0574-89092016；电子邮箱：nbhgzwgk@customs.gov.cn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一、总体情况</w:t>
      </w:r>
    </w:p>
    <w:p>
      <w:pPr>
        <w:pStyle w:val="33"/>
        <w:adjustRightInd w:val="0"/>
        <w:snapToGrid w:val="0"/>
        <w:ind w:firstLineChars="200" w:firstLine="640"/>
      </w:pPr>
      <w:r>
        <w:rPr>
          <w:rFonts w:eastAsia="方正楷体_GBK" w:cs="方正楷体_GBK" w:hint="eastAsia"/>
          <w:bCs/>
          <w:spacing w:val="0"/>
          <w:szCs w:val="32"/>
          <w:shd w:val="clear" w:color="auto" w:fill="auto"/>
        </w:rPr>
        <w:t>（一）主动公开方面。</w:t>
      </w:r>
      <w:r>
        <w:rPr>
          <w:rFonts w:hint="eastAsia"/>
        </w:rPr>
        <w:t>严格履行法定主动公开职责，门户网站发布法定主动公开政府信息2290条，其中，履职依据信息68条、统计信息89条、行政许可和行政处罚决定信息1345条、政府采购信息152条、人事信息25条、财政信息53条、“双随机</w:t>
      </w:r>
      <w:r>
        <w:t>、</w:t>
      </w:r>
      <w:r>
        <w:rPr>
          <w:rFonts w:hint="eastAsia"/>
        </w:rPr>
        <w:t>一公开”结果信息524条、其他信息34条。加强办事指南信息公开，</w:t>
      </w:r>
      <w:r>
        <w:rPr>
          <w:rFonts w:hint="eastAsia"/>
          <w:szCs w:val="32"/>
        </w:rPr>
        <w:t>门户网站</w:t>
      </w:r>
      <w:r>
        <w:rPr>
          <w:rFonts w:hint="eastAsia"/>
        </w:rPr>
        <w:t>公开</w:t>
      </w:r>
      <w:r>
        <w:rPr>
          <w:rFonts w:hint="eastAsia"/>
          <w:szCs w:val="32"/>
        </w:rPr>
        <w:t>办事指南63项，其中更新29项。</w:t>
      </w:r>
      <w:r>
        <w:rPr>
          <w:rFonts w:hint="eastAsia"/>
        </w:rPr>
        <w:t>加强专题信息公开，做好国门生物安全、浙江自贸试验区宁波片区建设等专题专栏信息发布，新开设甬关影像专栏。</w:t>
      </w:r>
    </w:p>
    <w:p>
      <w:pPr>
        <w:pStyle w:val="69"/>
        <w:spacing w:after="0" w:line="560" w:lineRule="exact"/>
        <w:ind w:leftChars="0" w:left="0" w:firstLineChars="200" w:firstLine="640"/>
        <w:rPr>
          <w:rFonts w:cs="Arial"/>
          <w:szCs w:val="32"/>
        </w:rPr>
      </w:pPr>
      <w:r>
        <w:rPr>
          <w:rFonts w:eastAsia="方正楷体_GBK" w:cs="方正楷体_GBK" w:hint="eastAsia"/>
          <w:bCs/>
          <w:szCs w:val="32"/>
          <w:shd w:val="clear" w:color="auto" w:fill="auto"/>
        </w:rPr>
        <w:t>（二）依申请公开方面。</w:t>
      </w:r>
      <w:r>
        <w:rPr>
          <w:rFonts w:cs="Arial" w:hint="eastAsia"/>
          <w:szCs w:val="32"/>
        </w:rPr>
        <w:t>2023年宁波海关本级机关收到政府信息公开申请13件，由上年度结转1件，均为“自然人”申请；答复类型中，“予以公开”1件、“无法提供”（本机关不掌握相关政府信息）4件、“咨询事项”3件、“申请人撤销申请”6件。涉及政府信息公开申请的行政复议0件、行政诉讼3件。</w:t>
      </w:r>
    </w:p>
    <w:p>
      <w:pPr>
        <w:pStyle w:val="33"/>
        <w:adjustRightInd w:val="0"/>
        <w:snapToGrid w:val="0"/>
        <w:ind w:firstLineChars="200" w:firstLine="640"/>
        <w:rPr>
          <w:rFonts w:ascii="方正楷体_GBK" w:eastAsia="方正楷体_GBK" w:cs="楷体_GB2312"/>
          <w:bCs/>
          <w:szCs w:val="32"/>
          <w:shd w:val="clear" w:color="auto" w:fill="FFFFFF"/>
        </w:rPr>
      </w:pPr>
      <w:r>
        <w:rPr>
          <w:rFonts w:eastAsia="方正楷体_GBK" w:cs="方正楷体_GBK" w:hint="eastAsia"/>
          <w:bCs/>
          <w:spacing w:val="0"/>
          <w:szCs w:val="32"/>
          <w:shd w:val="clear" w:color="auto" w:fill="auto"/>
        </w:rPr>
        <w:t>（三）政府信息管理方面。</w:t>
      </w:r>
      <w:r>
        <w:rPr>
          <w:rFonts w:cs="Arial" w:hint="eastAsia"/>
          <w:spacing w:val="0"/>
          <w:szCs w:val="32"/>
        </w:rPr>
        <w:t>修订发布《政府信息公开指南》，明确政府信息公开工作机构情况、主动公开渠道、公开内容以及依申请公开申请渠道、办理要求等信息；修订发布《宁波海关主动公开基本目录（2023年版）》，明确11类29条需主动公开的事项；定期更新政府信息公开目录。</w:t>
      </w:r>
    </w:p>
    <w:p>
      <w:pPr>
        <w:spacing w:line="560" w:lineRule="exact"/>
        <w:ind w:firstLineChars="200" w:firstLine="640"/>
        <w:jc w:val="left"/>
        <w:rPr>
          <w:szCs w:val="32"/>
        </w:rPr>
      </w:pPr>
      <w:r>
        <w:rPr>
          <w:rFonts w:eastAsia="方正楷体_GBK" w:cs="方正楷体_GBK" w:hint="eastAsia"/>
          <w:bCs/>
          <w:szCs w:val="32"/>
          <w:shd w:val="clear" w:color="auto" w:fill="auto"/>
        </w:rPr>
        <w:t>（四）平台建设方面。</w:t>
      </w:r>
      <w:r>
        <w:rPr>
          <w:rFonts w:cs="Arial" w:hint="eastAsia"/>
          <w:szCs w:val="32"/>
        </w:rPr>
        <w:t>加强网站管理运维，开展网站日常巡查和专项检查，持续优化栏目内容；</w:t>
      </w:r>
      <w:r>
        <w:rPr>
          <w:rFonts w:cs="方正仿宋_GBK" w:hint="eastAsia"/>
          <w:szCs w:val="32"/>
        </w:rPr>
        <w:t>举办在线访谈3次，承办海关总署</w:t>
      </w:r>
      <w:r>
        <w:rPr>
          <w:rFonts w:hint="eastAsia"/>
          <w:szCs w:val="32"/>
        </w:rPr>
        <w:t>“助力打造中国—中东欧国家经贸合作高水平对外开放新平台”主题在线访谈，访问量达28.54万人次，网友提问65个，现场答复50个。</w:t>
      </w:r>
      <w:r>
        <w:rPr>
          <w:rFonts w:cs="Arial" w:hint="eastAsia"/>
          <w:szCs w:val="32"/>
        </w:rPr>
        <w:t>加强政务新媒体管理运维，</w:t>
      </w:r>
      <w:r>
        <w:rPr>
          <w:rFonts w:hint="eastAsia"/>
          <w:szCs w:val="32"/>
        </w:rPr>
        <w:t>全年“阿拉甬关”微信公众号发布信息411条，订阅用户数达2.6万人；“宁波海关发布”微博发布信息549条，关注量达1.4万人。</w:t>
      </w:r>
    </w:p>
    <w:p>
      <w:pPr>
        <w:snapToGrid w:val="0"/>
        <w:spacing w:line="560" w:lineRule="exact"/>
        <w:ind w:firstLineChars="200" w:firstLine="640"/>
        <w:rPr>
          <w:rFonts w:eastAsia="方正黑体_GBK"/>
          <w:szCs w:val="32"/>
        </w:rPr>
      </w:pPr>
      <w:r>
        <w:rPr>
          <w:rFonts w:eastAsia="方正楷体_GBK" w:cs="方正楷体_GBK" w:hint="eastAsia"/>
          <w:bCs/>
          <w:szCs w:val="32"/>
          <w:shd w:val="clear" w:color="auto" w:fill="auto"/>
        </w:rPr>
        <w:t>（五）监督保障方面。</w:t>
      </w:r>
      <w:r>
        <w:rPr>
          <w:rFonts w:cs="Arial" w:hint="eastAsia"/>
          <w:szCs w:val="32"/>
        </w:rPr>
        <w:t>完善保障监督机制，公开监督投诉电话，接受社会监督。回应社会关切，</w:t>
      </w:r>
      <w:r>
        <w:rPr>
          <w:rFonts w:cs="方正仿宋_GBK" w:hint="eastAsia"/>
          <w:szCs w:val="32"/>
        </w:rPr>
        <w:t>办理人大代表建议和政协提案17份，解决率、满意率均达到100%。</w:t>
      </w:r>
      <w:r>
        <w:rPr>
          <w:rFonts w:cs="Arial" w:hint="eastAsia"/>
          <w:szCs w:val="32"/>
        </w:rPr>
        <w:t>按时回应信访咨询，办理“关长信箱”392件、“信访留言”16件、“业务咨询”278件；发挥“12360”海关热线作用，接听电话</w:t>
      </w:r>
      <w:r>
        <w:rPr>
          <w:color w:val="000000"/>
          <w:szCs w:val="32"/>
        </w:rPr>
        <w:t>25149</w:t>
      </w:r>
      <w:r>
        <w:rPr>
          <w:rFonts w:cs="Arial" w:hint="eastAsia"/>
          <w:szCs w:val="32"/>
        </w:rPr>
        <w:t>个，接通率</w:t>
      </w:r>
      <w:r>
        <w:rPr>
          <w:color w:val="000000"/>
          <w:szCs w:val="32"/>
        </w:rPr>
        <w:t>99.2</w:t>
      </w:r>
      <w:r>
        <w:rPr>
          <w:rFonts w:cs="Arial" w:hint="eastAsia"/>
          <w:szCs w:val="32"/>
        </w:rPr>
        <w:t>%。</w:t>
      </w:r>
      <w:r>
        <w:rPr>
          <w:rFonts w:hint="eastAsia"/>
          <w:szCs w:val="32"/>
        </w:rPr>
        <w:t>开展宁波海关政务公开工作专题培训，派员参加海关总署和省市地方政务公开工作培训，</w:t>
      </w:r>
      <w:r>
        <w:rPr>
          <w:rFonts w:cs="Arial" w:hint="eastAsia"/>
          <w:szCs w:val="32"/>
        </w:rPr>
        <w:t>提高政务公开工作人员能力水平</w:t>
      </w:r>
      <w:r>
        <w:rPr>
          <w:rFonts w:hint="eastAsia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2567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16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7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6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14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</w:tr>
    </w:tbl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五、存在的主要问题及改进情况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（一）2022</w:t>
      </w:r>
      <w:bookmarkStart w:id="2" w:name="_GoBack"/>
      <w:bookmarkEnd w:id="2"/>
      <w:r>
        <w:rPr>
          <w:rFonts w:ascii="方正楷体_GBK" w:eastAsia="方正楷体_GBK" w:hint="eastAsia"/>
          <w:b/>
          <w:bCs/>
        </w:rPr>
        <w:t>年年报中所提问题整改情况。</w:t>
      </w:r>
      <w:r>
        <w:rPr>
          <w:rFonts w:hint="eastAsia"/>
        </w:rPr>
        <w:t>2022年政府信息公开工作存在的问题有：需进一步提升基层政务公开标准化规范化工作成效，提高社会群众获取信息的便利度</w:t>
      </w:r>
      <w:r>
        <w:t>。</w:t>
      </w:r>
      <w:r>
        <w:rPr>
          <w:rFonts w:hint="eastAsia"/>
        </w:rPr>
        <w:t>2023年，宁波海关采取以下措施进行整改：推动第三批推广隶属海关完成基层政务公开标准化规范化建设任务，</w:t>
      </w:r>
      <w:r>
        <w:rPr>
          <w:rFonts w:hint="eastAsia"/>
          <w:szCs w:val="32"/>
        </w:rPr>
        <w:t>截至8月底，关区所有隶属海关完成</w:t>
      </w:r>
      <w:r>
        <w:rPr>
          <w:rFonts w:hint="eastAsia"/>
        </w:rPr>
        <w:t>建设</w:t>
      </w:r>
      <w:r>
        <w:rPr>
          <w:rFonts w:hint="eastAsia"/>
          <w:szCs w:val="32"/>
        </w:rPr>
        <w:t>任务。</w:t>
      </w:r>
      <w:r>
        <w:rPr>
          <w:rFonts w:cs="宋体" w:hint="eastAsia"/>
          <w:szCs w:val="32"/>
        </w:rPr>
        <w:t>充分发挥门户网站公开主阵地作用</w:t>
      </w:r>
      <w:r>
        <w:rPr>
          <w:rFonts w:hint="eastAsia"/>
          <w:szCs w:val="32"/>
        </w:rPr>
        <w:t>，开设隶属海关政务公开专栏，集中公开隶属海关机构信息、政务服务、行政执法信息、综合管理等6大类信息，</w:t>
      </w:r>
      <w:r>
        <w:rPr>
          <w:rFonts w:hint="eastAsia"/>
        </w:rPr>
        <w:t>提高社会群众获取信息的便利度</w:t>
      </w:r>
      <w:r>
        <w:t>。</w:t>
      </w:r>
      <w:r>
        <w:rPr>
          <w:rFonts w:hint="eastAsia"/>
          <w:szCs w:val="32"/>
        </w:rPr>
        <w:t>立足隶属海关特色，积极培育基层政务公开品牌，创建</w:t>
      </w:r>
      <w:r>
        <w:rPr>
          <w:szCs w:val="32"/>
        </w:rPr>
        <w:t>北仑海关</w:t>
      </w:r>
      <w:r>
        <w:rPr>
          <w:rFonts w:hint="eastAsia"/>
          <w:szCs w:val="32"/>
        </w:rPr>
        <w:t>“旭政务”</w:t>
      </w:r>
      <w:r>
        <w:rPr>
          <w:rFonts w:cs="方正仿宋_GBK" w:hint="eastAsia"/>
          <w:szCs w:val="32"/>
        </w:rPr>
        <w:t>、</w:t>
      </w:r>
      <w:r>
        <w:rPr>
          <w:szCs w:val="32"/>
        </w:rPr>
        <w:t>保税区海关</w:t>
      </w:r>
      <w:r>
        <w:rPr>
          <w:rFonts w:hint="eastAsia"/>
          <w:szCs w:val="32"/>
        </w:rPr>
        <w:t>“触见甬保”等一批特色品牌。</w:t>
      </w:r>
    </w:p>
    <w:p>
      <w:pPr>
        <w:pStyle w:val="34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hint="eastAsia"/>
        </w:rPr>
        <w:t>机关部门主动公开意识有待进一步提高，政府信息发布审核还需加强。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bCs/>
          <w:szCs w:val="32"/>
          <w:shd w:val="clear" w:color="auto" w:fill="auto"/>
        </w:rPr>
      </w:pPr>
      <w:r>
        <w:rPr>
          <w:rFonts w:eastAsia="方正黑体_GBK" w:cs="方正黑体_GBK" w:hint="eastAsia"/>
          <w:bCs/>
          <w:szCs w:val="32"/>
          <w:shd w:val="clear" w:color="auto" w:fill="auto"/>
        </w:rPr>
        <w:t>六、其他需要报告的事项</w:t>
      </w:r>
      <w:bookmarkEnd w:id="1"/>
    </w:p>
    <w:p>
      <w:pPr>
        <w:pStyle w:val="16"/>
        <w:tabs>
          <w:tab w:val="center" w:pos="4153"/>
          <w:tab w:val="right" w:pos="8306"/>
        </w:tabs>
        <w:ind w:firstLineChars="200" w:firstLine="624"/>
        <w:rPr>
          <w:rFonts w:hint="eastAsia"/>
          <w:spacing w:val="-4"/>
          <w:sz w:val="32"/>
          <w:szCs w:val="20"/>
        </w:rPr>
      </w:pPr>
      <w:r>
        <w:rPr>
          <w:rFonts w:hint="eastAsia"/>
          <w:spacing w:val="-4"/>
          <w:sz w:val="32"/>
          <w:szCs w:val="20"/>
        </w:rPr>
        <w:t>本关202</w:t>
      </w:r>
      <w:r>
        <w:rPr>
          <w:spacing w:val="-4"/>
          <w:sz w:val="32"/>
          <w:szCs w:val="20"/>
        </w:rPr>
        <w:t>3</w:t>
      </w:r>
      <w:r>
        <w:rPr>
          <w:rFonts w:hint="eastAsia"/>
          <w:spacing w:val="-4"/>
          <w:sz w:val="32"/>
          <w:szCs w:val="20"/>
        </w:rPr>
        <w:t>年无收取信息处理费情况。</w:t>
      </w:r>
    </w:p>
    <w:p>
      <w:pPr>
        <w:pStyle w:val="16"/>
        <w:tabs>
          <w:tab w:val="center" w:pos="4153"/>
          <w:tab w:val="right" w:pos="8306"/>
        </w:tabs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cols w:num="1" w:space="72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- 3 -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- 4 -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  <w:style w:type="paragraph" w:styleId="69">
    <w:name w:val="Body Text Indent"/>
    <w:basedOn w:val="0"/>
    <w:pPr>
      <w:spacing w:after="120"/>
      <w:ind w:leftChars="200" w:left="200"/>
    </w:pPr>
    <w:rPr>
      <w:szCs w:val="22"/>
    </w:rPr>
  </w:style>
  <w:style w:type="paragraph" w:customStyle="1" w:styleId="70">
    <w:name w:val="样式 4 小四"/>
    <w:pPr>
      <w:widowControl w:val="0"/>
      <w:spacing w:line="240" w:lineRule="auto"/>
      <w:jc w:val="left"/>
    </w:pPr>
    <w:rPr>
      <w:rFonts w:ascii="宋体" w:eastAsia="宋体" w:cs="Lucida Sans" w:hAnsi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76ED1E2B-CE2B-4F00-92A9-35E7BBC3427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508</TotalTime>
  <Application>Yozo_Office27021597764231179</Application>
  <Pages>6</Pages>
  <Words>0</Words>
  <Characters>2141</Characters>
  <Lines>0</Lines>
  <Paragraphs>22</Paragraphs>
  <CharactersWithSpaces>2855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user</cp:lastModifiedBy>
  <cp:revision>89</cp:revision>
  <cp:lastPrinted>2020-01-22T00:43:00Z</cp:lastPrinted>
  <dcterms:created xsi:type="dcterms:W3CDTF">2024-01-08T02:35:00Z</dcterms:created>
  <dcterms:modified xsi:type="dcterms:W3CDTF">2026-02-02T01:43:59Z</dcterms:modified>
</cp:coreProperties>
</file>