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830" w:rsidRDefault="003D0B21">
      <w:pPr>
        <w:pStyle w:val="a3"/>
        <w:spacing w:line="580" w:lineRule="exact"/>
        <w:jc w:val="center"/>
        <w:rPr>
          <w:rFonts w:ascii="方正小标宋_GBK" w:eastAsia="方正小标宋_GBK" w:cs="方正小标宋_GBK"/>
          <w:spacing w:val="-4"/>
          <w:sz w:val="44"/>
          <w:szCs w:val="44"/>
        </w:rPr>
      </w:pPr>
      <w:r>
        <w:rPr>
          <w:rFonts w:ascii="方正小标宋_GBK" w:eastAsia="方正小标宋_GBK" w:cs="方正小标宋_GBK" w:hint="eastAsia"/>
          <w:spacing w:val="-4"/>
          <w:sz w:val="44"/>
          <w:szCs w:val="44"/>
        </w:rPr>
        <w:t>宁波海关（本级机关）</w:t>
      </w:r>
      <w:r>
        <w:rPr>
          <w:rFonts w:ascii="方正小标宋_GBK" w:eastAsia="方正小标宋_GBK" w:cs="方正小标宋_GBK" w:hint="eastAsia"/>
          <w:spacing w:val="-4"/>
          <w:sz w:val="44"/>
          <w:szCs w:val="44"/>
        </w:rPr>
        <w:t>2019</w:t>
      </w:r>
      <w:r>
        <w:rPr>
          <w:rFonts w:ascii="方正小标宋_GBK" w:eastAsia="方正小标宋_GBK" w:cs="方正小标宋_GBK" w:hint="eastAsia"/>
          <w:spacing w:val="-4"/>
          <w:sz w:val="44"/>
          <w:szCs w:val="44"/>
        </w:rPr>
        <w:t>年政府信息公开工作年度报告</w:t>
      </w:r>
    </w:p>
    <w:p w:rsidR="00131830" w:rsidRDefault="003D0B21">
      <w:pPr>
        <w:pStyle w:val="a4"/>
        <w:rPr>
          <w:rFonts w:ascii="Times New Roman" w:eastAsia="方正仿宋_GBK"/>
          <w:sz w:val="32"/>
          <w:szCs w:val="32"/>
        </w:rPr>
      </w:pPr>
      <w:r>
        <w:rPr>
          <w:rFonts w:ascii="Times New Roman" w:eastAsia="方正仿宋_GBK"/>
          <w:sz w:val="32"/>
          <w:szCs w:val="32"/>
        </w:rPr>
        <w:t>本年报根据《中华人民共和国政府信息公开条例》和《国务院办公厅政府信息与政务公开办公室关于政府信息公开工作年度报告有关事项的通知》（国办公开办函〔</w:t>
      </w:r>
      <w:r>
        <w:rPr>
          <w:rFonts w:ascii="Times New Roman" w:eastAsia="方正仿宋_GBK"/>
          <w:sz w:val="32"/>
          <w:szCs w:val="32"/>
        </w:rPr>
        <w:t>2019</w:t>
      </w:r>
      <w:r>
        <w:rPr>
          <w:rFonts w:ascii="Times New Roman" w:eastAsia="方正仿宋_GBK"/>
          <w:sz w:val="32"/>
          <w:szCs w:val="32"/>
        </w:rPr>
        <w:t>〕</w:t>
      </w:r>
      <w:r>
        <w:rPr>
          <w:rFonts w:ascii="Times New Roman" w:eastAsia="方正仿宋_GBK"/>
          <w:sz w:val="32"/>
          <w:szCs w:val="32"/>
        </w:rPr>
        <w:t>60</w:t>
      </w:r>
      <w:r>
        <w:rPr>
          <w:rFonts w:ascii="Times New Roman" w:eastAsia="方正仿宋_GBK"/>
          <w:sz w:val="32"/>
          <w:szCs w:val="32"/>
        </w:rPr>
        <w:t>号）要求编制而成。本年报由总体情况、主动公开政府信息情况、收到和处理政府信息公开申请情况、政府信息公开行政复议、行政诉讼情况、存在的主要问题及改进情况、其他需要报告的事项等</w:t>
      </w:r>
      <w:r>
        <w:rPr>
          <w:rFonts w:ascii="Times New Roman" w:eastAsia="方正仿宋_GBK"/>
          <w:sz w:val="32"/>
          <w:szCs w:val="32"/>
        </w:rPr>
        <w:t>6</w:t>
      </w:r>
      <w:r>
        <w:rPr>
          <w:rFonts w:ascii="Times New Roman" w:eastAsia="方正仿宋_GBK"/>
          <w:sz w:val="32"/>
          <w:szCs w:val="32"/>
        </w:rPr>
        <w:t>个部分组成。本年报中所列数据统计时间截至</w:t>
      </w:r>
      <w:r>
        <w:rPr>
          <w:rFonts w:ascii="Times New Roman" w:eastAsia="方正仿宋_GBK"/>
          <w:sz w:val="32"/>
          <w:szCs w:val="32"/>
        </w:rPr>
        <w:t>2019</w:t>
      </w:r>
      <w:r>
        <w:rPr>
          <w:rFonts w:ascii="Times New Roman" w:eastAsia="方正仿宋_GBK"/>
          <w:sz w:val="32"/>
          <w:szCs w:val="32"/>
        </w:rPr>
        <w:t>年</w:t>
      </w:r>
      <w:r>
        <w:rPr>
          <w:rFonts w:ascii="Times New Roman" w:eastAsia="方正仿宋_GBK"/>
          <w:sz w:val="32"/>
          <w:szCs w:val="32"/>
        </w:rPr>
        <w:t>12</w:t>
      </w:r>
      <w:r>
        <w:rPr>
          <w:rFonts w:ascii="Times New Roman" w:eastAsia="方正仿宋_GBK"/>
          <w:sz w:val="32"/>
          <w:szCs w:val="32"/>
        </w:rPr>
        <w:t>月</w:t>
      </w:r>
      <w:r>
        <w:rPr>
          <w:rFonts w:ascii="Times New Roman" w:eastAsia="方正仿宋_GBK"/>
          <w:sz w:val="32"/>
          <w:szCs w:val="32"/>
        </w:rPr>
        <w:t>31</w:t>
      </w:r>
      <w:r>
        <w:rPr>
          <w:rFonts w:ascii="Times New Roman" w:eastAsia="方正仿宋_GBK"/>
          <w:sz w:val="32"/>
          <w:szCs w:val="32"/>
        </w:rPr>
        <w:t>日。本年报的电子版可在宁波海关门户网站（</w:t>
      </w:r>
      <w:r>
        <w:rPr>
          <w:rFonts w:ascii="Times New Roman" w:eastAsia="方正仿宋_GBK"/>
          <w:sz w:val="32"/>
          <w:szCs w:val="32"/>
        </w:rPr>
        <w:t>ningbo.customs.gov.cn</w:t>
      </w:r>
      <w:r>
        <w:rPr>
          <w:rFonts w:ascii="Times New Roman" w:eastAsia="方正仿宋_GBK"/>
          <w:sz w:val="32"/>
          <w:szCs w:val="32"/>
        </w:rPr>
        <w:t>）信息公开专栏里下载。</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方正黑体_GBK" w:eastAsia="方正黑体_GBK" w:cs="楷体_GB2312" w:hint="eastAsia"/>
          <w:bCs/>
          <w:sz w:val="32"/>
          <w:szCs w:val="32"/>
          <w:shd w:val="clear" w:color="auto" w:fill="FFFFFF"/>
        </w:rPr>
        <w:t>一、总体情</w:t>
      </w:r>
      <w:r>
        <w:rPr>
          <w:rFonts w:ascii="方正黑体_GBK" w:eastAsia="方正黑体_GBK" w:cs="楷体_GB2312" w:hint="eastAsia"/>
          <w:bCs/>
          <w:sz w:val="32"/>
          <w:szCs w:val="32"/>
          <w:shd w:val="clear" w:color="auto" w:fill="FFFFFF"/>
        </w:rPr>
        <w:t>况</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Times New Roman" w:eastAsia="方正仿宋_GBK"/>
          <w:sz w:val="32"/>
          <w:szCs w:val="32"/>
        </w:rPr>
        <w:t>2019</w:t>
      </w:r>
      <w:r>
        <w:rPr>
          <w:rFonts w:ascii="Times New Roman" w:eastAsia="方正仿宋_GBK"/>
          <w:sz w:val="32"/>
          <w:szCs w:val="32"/>
        </w:rPr>
        <w:t>年，依据国务院关于政府信息公开工作有关规定，宁波海关在海关总署、地方党委政府的指导下，深入贯彻《中华人民共和国政府信息公开条例》《海关总署办公厅关于印发〈</w:t>
      </w:r>
      <w:r>
        <w:rPr>
          <w:rFonts w:ascii="Times New Roman" w:eastAsia="方正仿宋_GBK"/>
          <w:sz w:val="32"/>
          <w:szCs w:val="32"/>
        </w:rPr>
        <w:t>2019</w:t>
      </w:r>
      <w:r>
        <w:rPr>
          <w:rFonts w:ascii="Times New Roman" w:eastAsia="方正仿宋_GBK"/>
          <w:sz w:val="32"/>
          <w:szCs w:val="32"/>
        </w:rPr>
        <w:t>年海关政务公开工作要点〉的通知》《宁波市人民政府办公厅关于印发</w:t>
      </w:r>
      <w:r>
        <w:rPr>
          <w:rFonts w:ascii="Times New Roman" w:eastAsia="方正仿宋_GBK"/>
          <w:sz w:val="32"/>
          <w:szCs w:val="32"/>
        </w:rPr>
        <w:t>2019</w:t>
      </w:r>
      <w:r>
        <w:rPr>
          <w:rFonts w:ascii="Times New Roman" w:eastAsia="方正仿宋_GBK"/>
          <w:sz w:val="32"/>
          <w:szCs w:val="32"/>
        </w:rPr>
        <w:t>年宁波市政务公开工作要点的通知》等文件要求，完善制度规范，推进发布、解读、回应一体化建设，推进重点领域信息公开，加强平台建设，切实做好海关政府信</w:t>
      </w:r>
      <w:r>
        <w:rPr>
          <w:rFonts w:ascii="Times New Roman" w:eastAsia="方正仿宋_GBK"/>
          <w:sz w:val="32"/>
          <w:szCs w:val="32"/>
        </w:rPr>
        <w:lastRenderedPageBreak/>
        <w:t>息公开工作。全年在政府网站主动公开各类政府信息</w:t>
      </w:r>
      <w:r>
        <w:rPr>
          <w:rFonts w:ascii="Times New Roman" w:eastAsia="方正仿宋_GBK"/>
          <w:sz w:val="32"/>
          <w:szCs w:val="32"/>
        </w:rPr>
        <w:t>1368</w:t>
      </w:r>
      <w:r>
        <w:rPr>
          <w:rFonts w:ascii="Times New Roman" w:eastAsia="方正仿宋_GBK"/>
          <w:sz w:val="32"/>
          <w:szCs w:val="32"/>
        </w:rPr>
        <w:t>条，实体政务公开栏公开信息</w:t>
      </w:r>
      <w:r>
        <w:rPr>
          <w:rFonts w:ascii="Times New Roman" w:eastAsia="方正仿宋_GBK"/>
          <w:sz w:val="32"/>
          <w:szCs w:val="32"/>
        </w:rPr>
        <w:t>232</w:t>
      </w:r>
      <w:r>
        <w:rPr>
          <w:rFonts w:ascii="Times New Roman" w:eastAsia="方正仿宋_GBK"/>
          <w:sz w:val="32"/>
          <w:szCs w:val="32"/>
        </w:rPr>
        <w:t>条；宁波海关本级机关收到政府信息公</w:t>
      </w:r>
      <w:r>
        <w:rPr>
          <w:rFonts w:ascii="Times New Roman" w:eastAsia="方正仿宋_GBK"/>
          <w:sz w:val="32"/>
          <w:szCs w:val="32"/>
        </w:rPr>
        <w:t>开申请</w:t>
      </w:r>
      <w:r>
        <w:rPr>
          <w:rFonts w:ascii="Times New Roman" w:eastAsia="方正仿宋_GBK"/>
          <w:sz w:val="32"/>
          <w:szCs w:val="32"/>
        </w:rPr>
        <w:t>48</w:t>
      </w:r>
      <w:r>
        <w:rPr>
          <w:rFonts w:ascii="Times New Roman" w:eastAsia="方正仿宋_GBK"/>
          <w:sz w:val="32"/>
          <w:szCs w:val="32"/>
        </w:rPr>
        <w:t>件，均依法按时办理。</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方正黑体_GBK" w:eastAsia="方正黑体_GBK" w:cs="楷体_GB2312" w:hint="eastAsia"/>
          <w:bCs/>
          <w:sz w:val="32"/>
          <w:szCs w:val="32"/>
          <w:shd w:val="clear" w:color="auto" w:fill="FFFFFF"/>
        </w:rPr>
        <w:t xml:space="preserve">　</w:t>
      </w:r>
      <w:r>
        <w:rPr>
          <w:rFonts w:ascii="方正楷体_GBK" w:eastAsia="方正楷体_GBK" w:cs="楷体_GB2312" w:hint="eastAsia"/>
          <w:b/>
          <w:bCs/>
          <w:kern w:val="2"/>
          <w:sz w:val="32"/>
          <w:szCs w:val="32"/>
        </w:rPr>
        <w:t>（一）完善制度规范。</w:t>
      </w:r>
      <w:r>
        <w:rPr>
          <w:rFonts w:ascii="Times New Roman" w:eastAsia="方正仿宋_GBK"/>
          <w:sz w:val="32"/>
          <w:szCs w:val="32"/>
        </w:rPr>
        <w:t>一是完善政务公开领导小组。根据海关机构改革情况，完善政务公开工作领导小组。组建以关长为组长、其他关领导为副组长、各单位（部门）主要负责人为成员的领导小组；下设政务公开领导小组办公室，负责全关区政务公开工作的具体组织实施、业务指导、监督检查。二是抓好新修订《政府信息公开条例》的贯彻实施。组织全关区政府信息公开工作人员学习掌握新条例、运用新条例。开展政务公开工作培训，邀请专家针对新修订条例内容和依申请公开实务等进行授课，各单位、各部门办公室（综合科）负责人</w:t>
      </w:r>
      <w:r>
        <w:rPr>
          <w:rFonts w:ascii="Times New Roman" w:eastAsia="方正仿宋_GBK"/>
          <w:sz w:val="32"/>
          <w:szCs w:val="32"/>
        </w:rPr>
        <w:t>和经办人共</w:t>
      </w:r>
      <w:r>
        <w:rPr>
          <w:rFonts w:ascii="Times New Roman" w:eastAsia="方正仿宋_GBK"/>
          <w:sz w:val="32"/>
          <w:szCs w:val="32"/>
        </w:rPr>
        <w:t>120</w:t>
      </w:r>
      <w:r>
        <w:rPr>
          <w:rFonts w:ascii="Times New Roman" w:eastAsia="方正仿宋_GBK"/>
          <w:sz w:val="32"/>
          <w:szCs w:val="32"/>
        </w:rPr>
        <w:t>余人参加培训。根据新条例内容，修订《宁波海关政府信息公开实施办法》，完善依申请公开登记、审核、办理、答复、归档等工作制度，明确办理流程各环节工作职责和办理时限。</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方正楷体_GBK" w:eastAsia="方正楷体_GBK" w:cs="楷体_GB2312" w:hint="eastAsia"/>
          <w:b/>
          <w:bCs/>
          <w:kern w:val="2"/>
          <w:sz w:val="32"/>
          <w:szCs w:val="32"/>
        </w:rPr>
        <w:t>（二）推进发布、解读、回应一体化建设。</w:t>
      </w:r>
      <w:r>
        <w:rPr>
          <w:rFonts w:ascii="Times New Roman" w:eastAsia="方正仿宋_GBK"/>
          <w:sz w:val="32"/>
          <w:szCs w:val="32"/>
        </w:rPr>
        <w:t>一是深化重要政策解读。通过宁波海关门户网站</w:t>
      </w:r>
      <w:r>
        <w:rPr>
          <w:rFonts w:ascii="Times New Roman" w:eastAsia="方正仿宋_GBK"/>
          <w:sz w:val="32"/>
          <w:szCs w:val="32"/>
        </w:rPr>
        <w:t>“</w:t>
      </w:r>
      <w:r>
        <w:rPr>
          <w:rFonts w:ascii="Times New Roman" w:eastAsia="方正仿宋_GBK"/>
          <w:sz w:val="32"/>
          <w:szCs w:val="32"/>
        </w:rPr>
        <w:t>政策解读</w:t>
      </w:r>
      <w:r>
        <w:rPr>
          <w:rFonts w:ascii="Times New Roman" w:eastAsia="方正仿宋_GBK"/>
          <w:sz w:val="32"/>
          <w:szCs w:val="32"/>
        </w:rPr>
        <w:t>”“</w:t>
      </w:r>
      <w:r>
        <w:rPr>
          <w:rFonts w:ascii="Times New Roman" w:eastAsia="方正仿宋_GBK"/>
          <w:sz w:val="32"/>
          <w:szCs w:val="32"/>
        </w:rPr>
        <w:t>在线访谈</w:t>
      </w:r>
      <w:r>
        <w:rPr>
          <w:rFonts w:ascii="Times New Roman" w:eastAsia="方正仿宋_GBK"/>
          <w:sz w:val="32"/>
          <w:szCs w:val="32"/>
        </w:rPr>
        <w:t>”“</w:t>
      </w:r>
      <w:r>
        <w:rPr>
          <w:rFonts w:ascii="Times New Roman" w:eastAsia="方正仿宋_GBK"/>
          <w:sz w:val="32"/>
          <w:szCs w:val="32"/>
        </w:rPr>
        <w:t>网上直播</w:t>
      </w:r>
      <w:r>
        <w:rPr>
          <w:rFonts w:ascii="Times New Roman" w:eastAsia="方正仿宋_GBK"/>
          <w:sz w:val="32"/>
          <w:szCs w:val="32"/>
        </w:rPr>
        <w:t>”</w:t>
      </w:r>
      <w:r>
        <w:rPr>
          <w:rFonts w:ascii="Times New Roman" w:eastAsia="方正仿宋_GBK"/>
          <w:sz w:val="32"/>
          <w:szCs w:val="32"/>
        </w:rPr>
        <w:t>等栏目，以及宁波海关微信公众号、宁波市政府信息公开</w:t>
      </w:r>
      <w:r>
        <w:rPr>
          <w:rFonts w:ascii="Times New Roman" w:eastAsia="方正仿宋_GBK"/>
          <w:sz w:val="32"/>
          <w:szCs w:val="32"/>
        </w:rPr>
        <w:lastRenderedPageBreak/>
        <w:t>平台等载体，宣传和解读政策背景、依据、目标任务、重点任务、涉及范围等，及时准确传递海关总署各项政策意图。</w:t>
      </w:r>
      <w:r>
        <w:rPr>
          <w:rFonts w:ascii="Times New Roman" w:eastAsia="方正仿宋_GBK"/>
          <w:sz w:val="32"/>
          <w:szCs w:val="32"/>
        </w:rPr>
        <w:t>2019</w:t>
      </w:r>
      <w:r>
        <w:rPr>
          <w:rFonts w:ascii="Times New Roman" w:eastAsia="方正仿宋_GBK"/>
          <w:sz w:val="32"/>
          <w:szCs w:val="32"/>
        </w:rPr>
        <w:t>年在门户网站开展在线访谈</w:t>
      </w:r>
      <w:r>
        <w:rPr>
          <w:rFonts w:ascii="Times New Roman" w:eastAsia="方正仿宋_GBK"/>
          <w:sz w:val="32"/>
          <w:szCs w:val="32"/>
        </w:rPr>
        <w:t>5</w:t>
      </w:r>
      <w:r>
        <w:rPr>
          <w:rFonts w:ascii="Times New Roman" w:eastAsia="方正仿宋_GBK"/>
          <w:sz w:val="32"/>
          <w:szCs w:val="32"/>
        </w:rPr>
        <w:t>次，主题包括食品准入政策解</w:t>
      </w:r>
      <w:r>
        <w:rPr>
          <w:rFonts w:ascii="Times New Roman" w:eastAsia="方正仿宋_GBK"/>
          <w:sz w:val="32"/>
          <w:szCs w:val="32"/>
        </w:rPr>
        <w:t>读、</w:t>
      </w:r>
      <w:r>
        <w:rPr>
          <w:rFonts w:ascii="Times New Roman" w:eastAsia="方正仿宋_GBK"/>
          <w:sz w:val="32"/>
          <w:szCs w:val="32"/>
        </w:rPr>
        <w:t>“</w:t>
      </w:r>
      <w:r>
        <w:rPr>
          <w:rFonts w:ascii="Times New Roman" w:eastAsia="方正仿宋_GBK"/>
          <w:sz w:val="32"/>
          <w:szCs w:val="32"/>
        </w:rPr>
        <w:t>两步申报</w:t>
      </w:r>
      <w:r>
        <w:rPr>
          <w:rFonts w:ascii="Times New Roman" w:eastAsia="方正仿宋_GBK"/>
          <w:sz w:val="32"/>
          <w:szCs w:val="32"/>
        </w:rPr>
        <w:t>”</w:t>
      </w:r>
      <w:r>
        <w:rPr>
          <w:rFonts w:ascii="Times New Roman" w:eastAsia="方正仿宋_GBK"/>
          <w:sz w:val="32"/>
          <w:szCs w:val="32"/>
        </w:rPr>
        <w:t>改革试点政策解读、进口废物原料检验监管等，涵盖了海关本年度重要改革工作和重点工作，得到了广大网友的积极参与；在微信公众号</w:t>
      </w:r>
      <w:r>
        <w:rPr>
          <w:rFonts w:ascii="Times New Roman" w:eastAsia="方正仿宋_GBK"/>
          <w:sz w:val="32"/>
          <w:szCs w:val="32"/>
        </w:rPr>
        <w:t>“</w:t>
      </w:r>
      <w:r>
        <w:rPr>
          <w:rFonts w:ascii="Times New Roman" w:eastAsia="方正仿宋_GBK"/>
          <w:sz w:val="32"/>
          <w:szCs w:val="32"/>
        </w:rPr>
        <w:t>阿拉甬关</w:t>
      </w:r>
      <w:r>
        <w:rPr>
          <w:rFonts w:ascii="Times New Roman" w:eastAsia="方正仿宋_GBK"/>
          <w:sz w:val="32"/>
          <w:szCs w:val="32"/>
        </w:rPr>
        <w:t>”</w:t>
      </w:r>
      <w:r>
        <w:rPr>
          <w:rFonts w:ascii="Times New Roman" w:eastAsia="方正仿宋_GBK"/>
          <w:sz w:val="32"/>
          <w:szCs w:val="32"/>
        </w:rPr>
        <w:t>发布政策解读</w:t>
      </w:r>
      <w:r>
        <w:rPr>
          <w:rFonts w:ascii="Times New Roman" w:eastAsia="方正仿宋_GBK"/>
          <w:sz w:val="32"/>
          <w:szCs w:val="32"/>
        </w:rPr>
        <w:t>90</w:t>
      </w:r>
      <w:r>
        <w:rPr>
          <w:rFonts w:ascii="Times New Roman" w:eastAsia="方正仿宋_GBK"/>
          <w:sz w:val="32"/>
          <w:szCs w:val="32"/>
        </w:rPr>
        <w:t>余条；在宁波市政府信息公开平台发布专题政策解读</w:t>
      </w:r>
      <w:r>
        <w:rPr>
          <w:rFonts w:ascii="Times New Roman" w:eastAsia="方正仿宋_GBK"/>
          <w:sz w:val="32"/>
          <w:szCs w:val="32"/>
        </w:rPr>
        <w:t>5</w:t>
      </w:r>
      <w:r>
        <w:rPr>
          <w:rFonts w:ascii="Times New Roman" w:eastAsia="方正仿宋_GBK"/>
          <w:sz w:val="32"/>
          <w:szCs w:val="32"/>
        </w:rPr>
        <w:t>条。二是深化回应社会关切。认真落实海关总署和地方党委政府关于深入推进政务舆情回应的工作要求，提高风险防控意识，明确相关责任要求，提高政务舆情回应的主动性、针对性、有效性。主动回应社会关切，</w:t>
      </w:r>
      <w:r>
        <w:rPr>
          <w:rFonts w:ascii="Times New Roman" w:eastAsia="方正仿宋_GBK"/>
          <w:sz w:val="32"/>
          <w:szCs w:val="32"/>
        </w:rPr>
        <w:t>2019</w:t>
      </w:r>
      <w:r>
        <w:rPr>
          <w:rFonts w:ascii="Times New Roman" w:eastAsia="方正仿宋_GBK"/>
          <w:sz w:val="32"/>
          <w:szCs w:val="32"/>
        </w:rPr>
        <w:t>年围绕国门生物安全、进口不合格食品现场销毁、促进外贸稳定增长等热点问题，组织召开新闻发布会</w:t>
      </w:r>
      <w:r>
        <w:rPr>
          <w:rFonts w:ascii="Times New Roman" w:eastAsia="方正仿宋_GBK"/>
          <w:sz w:val="32"/>
          <w:szCs w:val="32"/>
        </w:rPr>
        <w:t>6</w:t>
      </w:r>
      <w:r>
        <w:rPr>
          <w:rFonts w:ascii="Times New Roman" w:eastAsia="方正仿宋_GBK"/>
          <w:sz w:val="32"/>
          <w:szCs w:val="32"/>
        </w:rPr>
        <w:t>次。门户网站</w:t>
      </w:r>
      <w:r>
        <w:rPr>
          <w:rFonts w:ascii="Times New Roman" w:eastAsia="方正仿宋_GBK"/>
          <w:sz w:val="32"/>
          <w:szCs w:val="32"/>
        </w:rPr>
        <w:t>开设便民信箱，全年共收到关长信箱</w:t>
      </w:r>
      <w:r>
        <w:rPr>
          <w:rFonts w:ascii="Times New Roman" w:eastAsia="方正仿宋_GBK"/>
          <w:sz w:val="32"/>
          <w:szCs w:val="32"/>
        </w:rPr>
        <w:t>133</w:t>
      </w:r>
      <w:r>
        <w:rPr>
          <w:rFonts w:ascii="Times New Roman" w:eastAsia="方正仿宋_GBK"/>
          <w:sz w:val="32"/>
          <w:szCs w:val="32"/>
        </w:rPr>
        <w:t>件、业务咨询</w:t>
      </w:r>
      <w:r>
        <w:rPr>
          <w:rFonts w:ascii="Times New Roman" w:eastAsia="方正仿宋_GBK"/>
          <w:sz w:val="32"/>
          <w:szCs w:val="32"/>
        </w:rPr>
        <w:t>150</w:t>
      </w:r>
      <w:r>
        <w:rPr>
          <w:rFonts w:ascii="Times New Roman" w:eastAsia="方正仿宋_GBK"/>
          <w:sz w:val="32"/>
          <w:szCs w:val="32"/>
        </w:rPr>
        <w:t>件，均在规定时间内处理。</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方正黑体_GBK" w:eastAsia="方正黑体_GBK" w:cs="楷体_GB2312" w:hint="eastAsia"/>
          <w:bCs/>
          <w:sz w:val="32"/>
          <w:szCs w:val="32"/>
          <w:shd w:val="clear" w:color="auto" w:fill="FFFFFF"/>
        </w:rPr>
        <w:t xml:space="preserve">　</w:t>
      </w:r>
      <w:r>
        <w:rPr>
          <w:rFonts w:ascii="方正楷体_GBK" w:eastAsia="方正楷体_GBK" w:cs="楷体_GB2312" w:hint="eastAsia"/>
          <w:b/>
          <w:bCs/>
          <w:kern w:val="2"/>
          <w:sz w:val="32"/>
          <w:szCs w:val="32"/>
        </w:rPr>
        <w:t>（三）推进重点领域信息公开。</w:t>
      </w:r>
      <w:r>
        <w:rPr>
          <w:rFonts w:ascii="Times New Roman" w:eastAsia="方正仿宋_GBK"/>
          <w:sz w:val="32"/>
          <w:szCs w:val="32"/>
        </w:rPr>
        <w:t>一是深化</w:t>
      </w:r>
      <w:r>
        <w:rPr>
          <w:rFonts w:ascii="Times New Roman" w:eastAsia="方正仿宋_GBK"/>
          <w:sz w:val="32"/>
          <w:szCs w:val="32"/>
        </w:rPr>
        <w:t>“</w:t>
      </w:r>
      <w:r>
        <w:rPr>
          <w:rFonts w:ascii="Times New Roman" w:eastAsia="方正仿宋_GBK"/>
          <w:sz w:val="32"/>
          <w:szCs w:val="32"/>
        </w:rPr>
        <w:t>放管服</w:t>
      </w:r>
      <w:r>
        <w:rPr>
          <w:rFonts w:ascii="Times New Roman" w:eastAsia="方正仿宋_GBK"/>
          <w:sz w:val="32"/>
          <w:szCs w:val="32"/>
        </w:rPr>
        <w:t>”</w:t>
      </w:r>
      <w:r>
        <w:rPr>
          <w:rFonts w:ascii="Times New Roman" w:eastAsia="方正仿宋_GBK"/>
          <w:sz w:val="32"/>
          <w:szCs w:val="32"/>
        </w:rPr>
        <w:t>改革信息公开。围绕</w:t>
      </w:r>
      <w:r>
        <w:rPr>
          <w:rFonts w:ascii="Times New Roman" w:eastAsia="方正仿宋_GBK"/>
          <w:sz w:val="32"/>
          <w:szCs w:val="32"/>
        </w:rPr>
        <w:t>“</w:t>
      </w:r>
      <w:r>
        <w:rPr>
          <w:rFonts w:ascii="Times New Roman" w:eastAsia="方正仿宋_GBK"/>
          <w:sz w:val="32"/>
          <w:szCs w:val="32"/>
        </w:rPr>
        <w:t>放管服</w:t>
      </w:r>
      <w:r>
        <w:rPr>
          <w:rFonts w:ascii="Times New Roman" w:eastAsia="方正仿宋_GBK"/>
          <w:sz w:val="32"/>
          <w:szCs w:val="32"/>
        </w:rPr>
        <w:t>”</w:t>
      </w:r>
      <w:r>
        <w:rPr>
          <w:rFonts w:ascii="Times New Roman" w:eastAsia="方正仿宋_GBK"/>
          <w:sz w:val="32"/>
          <w:szCs w:val="32"/>
        </w:rPr>
        <w:t>和浙江省</w:t>
      </w:r>
      <w:r>
        <w:rPr>
          <w:rFonts w:ascii="Times New Roman" w:eastAsia="方正仿宋_GBK"/>
          <w:sz w:val="32"/>
          <w:szCs w:val="32"/>
        </w:rPr>
        <w:t>“</w:t>
      </w:r>
      <w:r>
        <w:rPr>
          <w:rFonts w:ascii="Times New Roman" w:eastAsia="方正仿宋_GBK"/>
          <w:sz w:val="32"/>
          <w:szCs w:val="32"/>
        </w:rPr>
        <w:t>最多跑一次</w:t>
      </w:r>
      <w:r>
        <w:rPr>
          <w:rFonts w:ascii="Times New Roman" w:eastAsia="方正仿宋_GBK"/>
          <w:sz w:val="32"/>
          <w:szCs w:val="32"/>
        </w:rPr>
        <w:t>”</w:t>
      </w:r>
      <w:r>
        <w:rPr>
          <w:rFonts w:ascii="Times New Roman" w:eastAsia="方正仿宋_GBK"/>
          <w:sz w:val="32"/>
          <w:szCs w:val="32"/>
        </w:rPr>
        <w:t>改革，着力做好海关实施减税降费、巩固压缩通关时间成效、精简行政许可、市场准入负面清单动态调整等方面的信息公开工作。二是推进行政执法信息公开。根据国家发改委、海关总署关于做好行政许可和行政处罚等信用信息公示工作有关规定，宁波海关以政</w:t>
      </w:r>
      <w:r>
        <w:rPr>
          <w:rFonts w:ascii="Times New Roman" w:eastAsia="方正仿宋_GBK"/>
          <w:sz w:val="32"/>
          <w:szCs w:val="32"/>
        </w:rPr>
        <w:lastRenderedPageBreak/>
        <w:t>府网站为主要载体，及时对外公开行政许可和行政处罚等信息（含知识产权行政处罚和走私违规行政处罚）。</w:t>
      </w:r>
      <w:r>
        <w:rPr>
          <w:rFonts w:ascii="Times New Roman" w:eastAsia="方正仿宋_GBK"/>
          <w:sz w:val="32"/>
          <w:szCs w:val="32"/>
        </w:rPr>
        <w:t>20</w:t>
      </w:r>
      <w:r>
        <w:rPr>
          <w:rFonts w:ascii="Times New Roman" w:eastAsia="方正仿宋_GBK"/>
          <w:sz w:val="32"/>
          <w:szCs w:val="32"/>
        </w:rPr>
        <w:t>19</w:t>
      </w:r>
      <w:r>
        <w:rPr>
          <w:rFonts w:ascii="Times New Roman" w:eastAsia="方正仿宋_GBK"/>
          <w:sz w:val="32"/>
          <w:szCs w:val="32"/>
        </w:rPr>
        <w:t>年在门户网站公开行政许可和处罚信息</w:t>
      </w:r>
      <w:r>
        <w:rPr>
          <w:rFonts w:ascii="Times New Roman" w:eastAsia="方正仿宋_GBK"/>
          <w:sz w:val="32"/>
          <w:szCs w:val="32"/>
        </w:rPr>
        <w:t>1028</w:t>
      </w:r>
      <w:r>
        <w:rPr>
          <w:rFonts w:ascii="Times New Roman" w:eastAsia="方正仿宋_GBK"/>
          <w:sz w:val="32"/>
          <w:szCs w:val="32"/>
        </w:rPr>
        <w:t>条，其中行政许可信息</w:t>
      </w:r>
      <w:r>
        <w:rPr>
          <w:rFonts w:ascii="Times New Roman" w:eastAsia="方正仿宋_GBK"/>
          <w:sz w:val="32"/>
          <w:szCs w:val="32"/>
        </w:rPr>
        <w:t>297</w:t>
      </w:r>
      <w:r>
        <w:rPr>
          <w:rFonts w:ascii="Times New Roman" w:eastAsia="方正仿宋_GBK"/>
          <w:sz w:val="32"/>
          <w:szCs w:val="32"/>
        </w:rPr>
        <w:t>条、行政处罚信息</w:t>
      </w:r>
      <w:r>
        <w:rPr>
          <w:rFonts w:ascii="Times New Roman" w:eastAsia="方正仿宋_GBK"/>
          <w:sz w:val="32"/>
          <w:szCs w:val="32"/>
        </w:rPr>
        <w:t>731</w:t>
      </w:r>
      <w:r>
        <w:rPr>
          <w:rFonts w:ascii="Times New Roman" w:eastAsia="方正仿宋_GBK"/>
          <w:sz w:val="32"/>
          <w:szCs w:val="32"/>
        </w:rPr>
        <w:t>条。三是细化财政信息公开。做好财政信息公开，在门户网站</w:t>
      </w:r>
      <w:r>
        <w:rPr>
          <w:rFonts w:ascii="Times New Roman" w:eastAsia="方正仿宋_GBK"/>
          <w:sz w:val="32"/>
          <w:szCs w:val="32"/>
        </w:rPr>
        <w:t>“</w:t>
      </w:r>
      <w:r>
        <w:rPr>
          <w:rFonts w:ascii="Times New Roman" w:eastAsia="方正仿宋_GBK"/>
          <w:sz w:val="32"/>
          <w:szCs w:val="32"/>
        </w:rPr>
        <w:t>信息公开</w:t>
      </w:r>
      <w:r>
        <w:rPr>
          <w:rFonts w:ascii="Times New Roman" w:eastAsia="方正仿宋_GBK"/>
          <w:sz w:val="32"/>
          <w:szCs w:val="32"/>
        </w:rPr>
        <w:t>”</w:t>
      </w:r>
      <w:r>
        <w:rPr>
          <w:rFonts w:ascii="Times New Roman" w:eastAsia="方正仿宋_GBK"/>
          <w:sz w:val="32"/>
          <w:szCs w:val="32"/>
        </w:rPr>
        <w:t>栏目下设立</w:t>
      </w:r>
      <w:r>
        <w:rPr>
          <w:rFonts w:ascii="Times New Roman" w:eastAsia="方正仿宋_GBK"/>
          <w:sz w:val="32"/>
          <w:szCs w:val="32"/>
        </w:rPr>
        <w:t>“</w:t>
      </w:r>
      <w:r>
        <w:rPr>
          <w:rFonts w:ascii="Times New Roman" w:eastAsia="方正仿宋_GBK"/>
          <w:sz w:val="32"/>
          <w:szCs w:val="32"/>
        </w:rPr>
        <w:t>财政信息</w:t>
      </w:r>
      <w:r>
        <w:rPr>
          <w:rFonts w:ascii="Times New Roman" w:eastAsia="方正仿宋_GBK"/>
          <w:sz w:val="32"/>
          <w:szCs w:val="32"/>
        </w:rPr>
        <w:t>”</w:t>
      </w:r>
      <w:r>
        <w:rPr>
          <w:rFonts w:ascii="Times New Roman" w:eastAsia="方正仿宋_GBK"/>
          <w:sz w:val="32"/>
          <w:szCs w:val="32"/>
        </w:rPr>
        <w:t>专栏，及时向社会公开海关系统年度预决算、收费公示、涉企保证金目录清单等信息。做好政府采购信息公开，门户网站设立</w:t>
      </w:r>
      <w:r>
        <w:rPr>
          <w:rFonts w:ascii="Times New Roman" w:eastAsia="方正仿宋_GBK"/>
          <w:sz w:val="32"/>
          <w:szCs w:val="32"/>
        </w:rPr>
        <w:t>“</w:t>
      </w:r>
      <w:r>
        <w:rPr>
          <w:rFonts w:ascii="Times New Roman" w:eastAsia="方正仿宋_GBK"/>
          <w:sz w:val="32"/>
          <w:szCs w:val="32"/>
        </w:rPr>
        <w:t>政府采购</w:t>
      </w:r>
      <w:r>
        <w:rPr>
          <w:rFonts w:ascii="Times New Roman" w:eastAsia="方正仿宋_GBK"/>
          <w:sz w:val="32"/>
          <w:szCs w:val="32"/>
        </w:rPr>
        <w:t>”</w:t>
      </w:r>
      <w:r>
        <w:rPr>
          <w:rFonts w:ascii="Times New Roman" w:eastAsia="方正仿宋_GBK"/>
          <w:sz w:val="32"/>
          <w:szCs w:val="32"/>
        </w:rPr>
        <w:t>专栏，集中公开海关政府采购相关信息。</w:t>
      </w:r>
      <w:r>
        <w:rPr>
          <w:rFonts w:ascii="Times New Roman" w:eastAsia="方正仿宋_GBK"/>
          <w:sz w:val="32"/>
          <w:szCs w:val="32"/>
        </w:rPr>
        <w:t>2019</w:t>
      </w:r>
      <w:r>
        <w:rPr>
          <w:rFonts w:ascii="Times New Roman" w:eastAsia="方正仿宋_GBK"/>
          <w:sz w:val="32"/>
          <w:szCs w:val="32"/>
        </w:rPr>
        <w:t>年公开政府招标采购和中标采购结果公告</w:t>
      </w:r>
      <w:r>
        <w:rPr>
          <w:rFonts w:ascii="Times New Roman" w:eastAsia="方正仿宋_GBK"/>
          <w:sz w:val="32"/>
          <w:szCs w:val="32"/>
        </w:rPr>
        <w:t>22</w:t>
      </w:r>
      <w:r>
        <w:rPr>
          <w:rFonts w:ascii="Times New Roman" w:eastAsia="方正仿宋_GBK"/>
          <w:sz w:val="32"/>
          <w:szCs w:val="32"/>
        </w:rPr>
        <w:t>条。做好拍卖信息公开，共发布海关涉案财物拍卖信息公示信息</w:t>
      </w:r>
      <w:r>
        <w:rPr>
          <w:rFonts w:ascii="Times New Roman" w:eastAsia="方正仿宋_GBK"/>
          <w:sz w:val="32"/>
          <w:szCs w:val="32"/>
        </w:rPr>
        <w:t>13</w:t>
      </w:r>
      <w:r>
        <w:rPr>
          <w:rFonts w:ascii="Times New Roman" w:eastAsia="方正仿宋_GBK"/>
          <w:sz w:val="32"/>
          <w:szCs w:val="32"/>
        </w:rPr>
        <w:t>条。</w:t>
      </w:r>
    </w:p>
    <w:p w:rsidR="00131830" w:rsidRDefault="003D0B21" w:rsidP="00CC3C6F">
      <w:pPr>
        <w:pStyle w:val="a4"/>
        <w:ind w:firstLine="630"/>
        <w:rPr>
          <w:rFonts w:ascii="Times New Roman" w:eastAsia="方正仿宋_GBK" w:hint="eastAsia"/>
          <w:sz w:val="32"/>
          <w:szCs w:val="32"/>
        </w:rPr>
      </w:pPr>
      <w:r>
        <w:rPr>
          <w:rFonts w:ascii="方正楷体_GBK" w:eastAsia="方正楷体_GBK" w:hint="eastAsia"/>
          <w:b/>
          <w:bCs/>
          <w:kern w:val="2"/>
          <w:sz w:val="32"/>
          <w:szCs w:val="32"/>
        </w:rPr>
        <w:t>（四）加强平台建设。</w:t>
      </w:r>
      <w:r>
        <w:rPr>
          <w:rFonts w:ascii="Times New Roman" w:eastAsia="方正仿宋_GBK"/>
          <w:sz w:val="32"/>
          <w:szCs w:val="32"/>
        </w:rPr>
        <w:t>一是推进政府网站优质规范发展。加强</w:t>
      </w:r>
      <w:r>
        <w:rPr>
          <w:rFonts w:ascii="Times New Roman" w:eastAsia="方正仿宋_GBK"/>
          <w:sz w:val="32"/>
          <w:szCs w:val="32"/>
        </w:rPr>
        <w:t>门户网站建设，对照《国务院办公厅秘书局关于政府网站与政务新媒体检查指标、监管工作年度考核指标的通知》要求，按照优化功能设计、整合信息资源、规范服务标准、强化互动交流的原则制定网站功能提升方案。购买第三方技术服务，组建办公室、科技部门、第三方技术公司</w:t>
      </w:r>
      <w:r>
        <w:rPr>
          <w:rFonts w:ascii="Times New Roman" w:eastAsia="方正仿宋_GBK"/>
          <w:sz w:val="32"/>
          <w:szCs w:val="32"/>
        </w:rPr>
        <w:t>“</w:t>
      </w:r>
      <w:r>
        <w:rPr>
          <w:rFonts w:ascii="Times New Roman" w:eastAsia="方正仿宋_GBK"/>
          <w:sz w:val="32"/>
          <w:szCs w:val="32"/>
        </w:rPr>
        <w:t>三位一体</w:t>
      </w:r>
      <w:r>
        <w:rPr>
          <w:rFonts w:ascii="Times New Roman" w:eastAsia="方正仿宋_GBK"/>
          <w:sz w:val="32"/>
          <w:szCs w:val="32"/>
        </w:rPr>
        <w:t>”</w:t>
      </w:r>
      <w:r>
        <w:rPr>
          <w:rFonts w:ascii="Times New Roman" w:eastAsia="方正仿宋_GBK"/>
          <w:sz w:val="32"/>
          <w:szCs w:val="32"/>
        </w:rPr>
        <w:t>的网站建设维护小组，规范网站管理，排查网站问题，提升服务功能。</w:t>
      </w:r>
      <w:r>
        <w:rPr>
          <w:rFonts w:ascii="Times New Roman" w:eastAsia="方正仿宋_GBK"/>
          <w:sz w:val="32"/>
          <w:szCs w:val="32"/>
        </w:rPr>
        <w:t>2019</w:t>
      </w:r>
      <w:r>
        <w:rPr>
          <w:rFonts w:ascii="Times New Roman" w:eastAsia="方正仿宋_GBK"/>
          <w:sz w:val="32"/>
          <w:szCs w:val="32"/>
        </w:rPr>
        <w:t>年共调整、合并及新增各级栏目</w:t>
      </w:r>
      <w:r>
        <w:rPr>
          <w:rFonts w:ascii="Times New Roman" w:eastAsia="方正仿宋_GBK"/>
          <w:sz w:val="32"/>
          <w:szCs w:val="32"/>
        </w:rPr>
        <w:t>23</w:t>
      </w:r>
      <w:r>
        <w:rPr>
          <w:rFonts w:ascii="Times New Roman" w:eastAsia="方正仿宋_GBK"/>
          <w:sz w:val="32"/>
          <w:szCs w:val="32"/>
        </w:rPr>
        <w:t>项。加强宁波市政府信息公开平台维护，全年通过市信息公开平台主动公开信息</w:t>
      </w:r>
      <w:r>
        <w:rPr>
          <w:rFonts w:ascii="Times New Roman" w:eastAsia="方正仿宋_GBK"/>
          <w:sz w:val="32"/>
          <w:szCs w:val="32"/>
        </w:rPr>
        <w:t>1368</w:t>
      </w:r>
      <w:r>
        <w:rPr>
          <w:rFonts w:ascii="Times New Roman" w:eastAsia="方正仿宋_GBK"/>
          <w:sz w:val="32"/>
          <w:szCs w:val="32"/>
        </w:rPr>
        <w:t>条，并日常维护机构概况、公开指南等栏目信息。二是推</w:t>
      </w:r>
      <w:r>
        <w:rPr>
          <w:rFonts w:ascii="Times New Roman" w:eastAsia="方正仿宋_GBK"/>
          <w:sz w:val="32"/>
          <w:szCs w:val="32"/>
        </w:rPr>
        <w:lastRenderedPageBreak/>
        <w:t>进政务新媒体健康有序发</w:t>
      </w:r>
      <w:r>
        <w:rPr>
          <w:rFonts w:ascii="Times New Roman" w:eastAsia="方正仿宋_GBK"/>
          <w:sz w:val="32"/>
          <w:szCs w:val="32"/>
        </w:rPr>
        <w:t>展。做精微信公众号品牌，强化官方微信公众号</w:t>
      </w:r>
      <w:r>
        <w:rPr>
          <w:rFonts w:ascii="Times New Roman" w:eastAsia="方正仿宋_GBK"/>
          <w:sz w:val="32"/>
          <w:szCs w:val="32"/>
        </w:rPr>
        <w:t>“</w:t>
      </w:r>
      <w:r>
        <w:rPr>
          <w:rFonts w:ascii="Times New Roman" w:eastAsia="方正仿宋_GBK"/>
          <w:sz w:val="32"/>
          <w:szCs w:val="32"/>
        </w:rPr>
        <w:t>阿拉甬关</w:t>
      </w:r>
      <w:r>
        <w:rPr>
          <w:rFonts w:ascii="Times New Roman" w:eastAsia="方正仿宋_GBK"/>
          <w:sz w:val="32"/>
          <w:szCs w:val="32"/>
        </w:rPr>
        <w:t>”</w:t>
      </w:r>
      <w:r>
        <w:rPr>
          <w:rFonts w:ascii="Times New Roman" w:eastAsia="方正仿宋_GBK"/>
          <w:sz w:val="32"/>
          <w:szCs w:val="32"/>
        </w:rPr>
        <w:t>的对外服务功能，在主界面增设</w:t>
      </w:r>
      <w:r>
        <w:rPr>
          <w:rFonts w:ascii="Times New Roman" w:eastAsia="方正仿宋_GBK"/>
          <w:sz w:val="32"/>
          <w:szCs w:val="32"/>
        </w:rPr>
        <w:t>“</w:t>
      </w:r>
      <w:r>
        <w:rPr>
          <w:rFonts w:ascii="Times New Roman" w:eastAsia="方正仿宋_GBK"/>
          <w:sz w:val="32"/>
          <w:szCs w:val="32"/>
        </w:rPr>
        <w:t>甬关动态</w:t>
      </w:r>
      <w:r>
        <w:rPr>
          <w:rFonts w:ascii="Times New Roman" w:eastAsia="方正仿宋_GBK"/>
          <w:sz w:val="32"/>
          <w:szCs w:val="32"/>
        </w:rPr>
        <w:t>”“</w:t>
      </w:r>
      <w:r>
        <w:rPr>
          <w:rFonts w:ascii="Times New Roman" w:eastAsia="方正仿宋_GBK"/>
          <w:sz w:val="32"/>
          <w:szCs w:val="32"/>
        </w:rPr>
        <w:t>实用查询</w:t>
      </w:r>
      <w:r>
        <w:rPr>
          <w:rFonts w:ascii="Times New Roman" w:eastAsia="方正仿宋_GBK"/>
          <w:sz w:val="32"/>
          <w:szCs w:val="32"/>
        </w:rPr>
        <w:t>”“</w:t>
      </w:r>
      <w:r>
        <w:rPr>
          <w:rFonts w:ascii="Times New Roman" w:eastAsia="方正仿宋_GBK"/>
          <w:sz w:val="32"/>
          <w:szCs w:val="32"/>
        </w:rPr>
        <w:t>办事指南</w:t>
      </w:r>
      <w:r>
        <w:rPr>
          <w:rFonts w:ascii="Times New Roman" w:eastAsia="方正仿宋_GBK"/>
          <w:sz w:val="32"/>
          <w:szCs w:val="32"/>
        </w:rPr>
        <w:t>”3</w:t>
      </w:r>
      <w:r>
        <w:rPr>
          <w:rFonts w:ascii="Times New Roman" w:eastAsia="方正仿宋_GBK"/>
          <w:sz w:val="32"/>
          <w:szCs w:val="32"/>
        </w:rPr>
        <w:t>个功能模块，下设</w:t>
      </w:r>
      <w:r>
        <w:rPr>
          <w:rFonts w:ascii="Times New Roman" w:eastAsia="方正仿宋_GBK"/>
          <w:sz w:val="32"/>
          <w:szCs w:val="32"/>
        </w:rPr>
        <w:t>“</w:t>
      </w:r>
      <w:r>
        <w:rPr>
          <w:rFonts w:ascii="Times New Roman" w:eastAsia="方正仿宋_GBK"/>
          <w:sz w:val="32"/>
          <w:szCs w:val="32"/>
        </w:rPr>
        <w:t>通知公告</w:t>
      </w:r>
      <w:r>
        <w:rPr>
          <w:rFonts w:ascii="Times New Roman" w:eastAsia="方正仿宋_GBK"/>
          <w:sz w:val="32"/>
          <w:szCs w:val="32"/>
        </w:rPr>
        <w:t>”“</w:t>
      </w:r>
      <w:r>
        <w:rPr>
          <w:rFonts w:ascii="Times New Roman" w:eastAsia="方正仿宋_GBK"/>
          <w:sz w:val="32"/>
          <w:szCs w:val="32"/>
        </w:rPr>
        <w:t>通关状态</w:t>
      </w:r>
      <w:r>
        <w:rPr>
          <w:rFonts w:ascii="Times New Roman" w:eastAsia="方正仿宋_GBK"/>
          <w:sz w:val="32"/>
          <w:szCs w:val="32"/>
        </w:rPr>
        <w:t>”“</w:t>
      </w:r>
      <w:r>
        <w:rPr>
          <w:rFonts w:ascii="Times New Roman" w:eastAsia="方正仿宋_GBK"/>
          <w:sz w:val="32"/>
          <w:szCs w:val="32"/>
        </w:rPr>
        <w:t>统计数据</w:t>
      </w:r>
      <w:r>
        <w:rPr>
          <w:rFonts w:ascii="Times New Roman" w:eastAsia="方正仿宋_GBK"/>
          <w:sz w:val="32"/>
          <w:szCs w:val="32"/>
        </w:rPr>
        <w:t>”</w:t>
      </w:r>
      <w:r>
        <w:rPr>
          <w:rFonts w:ascii="Times New Roman" w:eastAsia="方正仿宋_GBK"/>
          <w:sz w:val="32"/>
          <w:szCs w:val="32"/>
        </w:rPr>
        <w:t>等</w:t>
      </w:r>
      <w:r>
        <w:rPr>
          <w:rFonts w:ascii="Times New Roman" w:eastAsia="方正仿宋_GBK"/>
          <w:sz w:val="32"/>
          <w:szCs w:val="32"/>
        </w:rPr>
        <w:t>10</w:t>
      </w:r>
      <w:r>
        <w:rPr>
          <w:rFonts w:ascii="Times New Roman" w:eastAsia="方正仿宋_GBK"/>
          <w:sz w:val="32"/>
          <w:szCs w:val="32"/>
        </w:rPr>
        <w:t>个子模块，为企业和个人提供指尖上的</w:t>
      </w:r>
      <w:r>
        <w:rPr>
          <w:rFonts w:ascii="Times New Roman" w:eastAsia="方正仿宋_GBK"/>
          <w:sz w:val="32"/>
          <w:szCs w:val="32"/>
        </w:rPr>
        <w:t>“</w:t>
      </w:r>
      <w:r>
        <w:rPr>
          <w:rFonts w:ascii="Times New Roman" w:eastAsia="方正仿宋_GBK"/>
          <w:sz w:val="32"/>
          <w:szCs w:val="32"/>
        </w:rPr>
        <w:t>海关服务</w:t>
      </w:r>
      <w:r>
        <w:rPr>
          <w:rFonts w:ascii="Times New Roman" w:eastAsia="方正仿宋_GBK"/>
          <w:sz w:val="32"/>
          <w:szCs w:val="32"/>
        </w:rPr>
        <w:t>”</w:t>
      </w:r>
      <w:r>
        <w:rPr>
          <w:rFonts w:ascii="Times New Roman" w:eastAsia="方正仿宋_GBK"/>
          <w:sz w:val="32"/>
          <w:szCs w:val="32"/>
        </w:rPr>
        <w:t>，实现由功能较单一的公众号向多功能的公众服务号转变，有效便利行政相对人。截至</w:t>
      </w:r>
      <w:r>
        <w:rPr>
          <w:rFonts w:ascii="Times New Roman" w:eastAsia="方正仿宋_GBK"/>
          <w:sz w:val="32"/>
          <w:szCs w:val="32"/>
        </w:rPr>
        <w:t>12</w:t>
      </w:r>
      <w:r>
        <w:rPr>
          <w:rFonts w:ascii="Times New Roman" w:eastAsia="方正仿宋_GBK"/>
          <w:sz w:val="32"/>
          <w:szCs w:val="32"/>
        </w:rPr>
        <w:t>月底，订阅用户数达</w:t>
      </w:r>
      <w:r>
        <w:rPr>
          <w:rFonts w:ascii="Times New Roman" w:eastAsia="方正仿宋_GBK"/>
          <w:sz w:val="32"/>
          <w:szCs w:val="32"/>
        </w:rPr>
        <w:t>15362</w:t>
      </w:r>
      <w:r>
        <w:rPr>
          <w:rFonts w:ascii="Times New Roman" w:eastAsia="方正仿宋_GBK"/>
          <w:sz w:val="32"/>
          <w:szCs w:val="32"/>
        </w:rPr>
        <w:t>人，共发布图文信息</w:t>
      </w:r>
      <w:r>
        <w:rPr>
          <w:rFonts w:ascii="Times New Roman" w:eastAsia="方正仿宋_GBK"/>
          <w:sz w:val="32"/>
          <w:szCs w:val="32"/>
        </w:rPr>
        <w:t>172</w:t>
      </w:r>
      <w:r>
        <w:rPr>
          <w:rFonts w:ascii="Times New Roman" w:eastAsia="方正仿宋_GBK"/>
          <w:sz w:val="32"/>
          <w:szCs w:val="32"/>
        </w:rPr>
        <w:t>期</w:t>
      </w:r>
      <w:r>
        <w:rPr>
          <w:rFonts w:ascii="Times New Roman" w:eastAsia="方正仿宋_GBK"/>
          <w:sz w:val="32"/>
          <w:szCs w:val="32"/>
        </w:rPr>
        <w:t>314</w:t>
      </w:r>
      <w:r>
        <w:rPr>
          <w:rFonts w:ascii="Times New Roman" w:eastAsia="方正仿宋_GBK"/>
          <w:sz w:val="32"/>
          <w:szCs w:val="32"/>
        </w:rPr>
        <w:t>条，在全国海关系统各类微信公众号中位居前列。创办官方政务微博，宁波海关官方微博</w:t>
      </w:r>
      <w:r>
        <w:rPr>
          <w:rFonts w:ascii="Times New Roman" w:eastAsia="方正仿宋_GBK"/>
          <w:sz w:val="32"/>
          <w:szCs w:val="32"/>
        </w:rPr>
        <w:t>“</w:t>
      </w:r>
      <w:r>
        <w:rPr>
          <w:rFonts w:ascii="Times New Roman" w:eastAsia="方正仿宋_GBK"/>
          <w:sz w:val="32"/>
          <w:szCs w:val="32"/>
        </w:rPr>
        <w:t>宁波海关发布</w:t>
      </w:r>
      <w:r>
        <w:rPr>
          <w:rFonts w:ascii="Times New Roman" w:eastAsia="方正仿宋_GBK"/>
          <w:sz w:val="32"/>
          <w:szCs w:val="32"/>
        </w:rPr>
        <w:t>”</w:t>
      </w:r>
      <w:r>
        <w:rPr>
          <w:rFonts w:ascii="Times New Roman" w:eastAsia="方正仿宋_GBK"/>
          <w:sz w:val="32"/>
          <w:szCs w:val="32"/>
        </w:rPr>
        <w:t>正式上线运行。上线以来，共发布原创微博</w:t>
      </w:r>
      <w:r>
        <w:rPr>
          <w:rFonts w:ascii="Times New Roman" w:eastAsia="方正仿宋_GBK"/>
          <w:sz w:val="32"/>
          <w:szCs w:val="32"/>
        </w:rPr>
        <w:t>63</w:t>
      </w:r>
      <w:r>
        <w:rPr>
          <w:rFonts w:ascii="Times New Roman" w:eastAsia="方正仿宋_GBK"/>
          <w:sz w:val="32"/>
          <w:szCs w:val="32"/>
        </w:rPr>
        <w:t>条，现有粉丝</w:t>
      </w:r>
      <w:r>
        <w:rPr>
          <w:rFonts w:ascii="Times New Roman" w:eastAsia="方正仿宋_GBK"/>
          <w:sz w:val="32"/>
          <w:szCs w:val="32"/>
        </w:rPr>
        <w:t>1.2</w:t>
      </w:r>
      <w:r>
        <w:rPr>
          <w:rFonts w:ascii="Times New Roman" w:eastAsia="方正仿宋_GBK"/>
          <w:sz w:val="32"/>
          <w:szCs w:val="32"/>
        </w:rPr>
        <w:t>万余人。</w:t>
      </w:r>
    </w:p>
    <w:p w:rsidR="00CC3C6F" w:rsidRDefault="00CC3C6F" w:rsidP="00CC3C6F">
      <w:pPr>
        <w:pStyle w:val="5"/>
        <w:ind w:left="0"/>
        <w:rPr>
          <w:rFonts w:hint="eastAsia"/>
        </w:rPr>
      </w:pPr>
    </w:p>
    <w:p w:rsidR="00CC3C6F" w:rsidRDefault="00CC3C6F" w:rsidP="00CC3C6F">
      <w:pPr>
        <w:rPr>
          <w:rFonts w:hint="eastAsia"/>
        </w:rPr>
      </w:pPr>
    </w:p>
    <w:p w:rsidR="00CC3C6F" w:rsidRPr="00CC3C6F" w:rsidRDefault="00CC3C6F" w:rsidP="00CC3C6F"/>
    <w:p w:rsidR="00131830" w:rsidRDefault="003D0B21">
      <w:pPr>
        <w:pStyle w:val="a4"/>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 xml:space="preserve">　　二、主动公开政府信息情况</w:t>
      </w:r>
    </w:p>
    <w:tbl>
      <w:tblPr>
        <w:tblW w:w="1029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000"/>
      </w:tblPr>
      <w:tblGrid>
        <w:gridCol w:w="3115"/>
        <w:gridCol w:w="2187"/>
        <w:gridCol w:w="1543"/>
        <w:gridCol w:w="3445"/>
      </w:tblGrid>
      <w:tr w:rsidR="00131830">
        <w:trPr>
          <w:trHeight w:val="494"/>
          <w:jc w:val="center"/>
        </w:trPr>
        <w:tc>
          <w:tcPr>
            <w:tcW w:w="10290" w:type="dxa"/>
            <w:gridSpan w:val="4"/>
            <w:tcBorders>
              <w:top w:val="single" w:sz="6" w:space="0" w:color="auto"/>
              <w:left w:val="single" w:sz="6" w:space="0" w:color="auto"/>
              <w:bottom w:val="single" w:sz="6" w:space="0" w:color="auto"/>
              <w:right w:val="single" w:sz="6" w:space="0" w:color="auto"/>
              <w:tl2br w:val="nil"/>
              <w:tr2bl w:val="nil"/>
            </w:tcBorders>
            <w:shd w:val="clear" w:color="auto" w:fill="C6D9F1"/>
            <w:vAlign w:val="center"/>
          </w:tcPr>
          <w:p w:rsidR="00131830" w:rsidRDefault="003D0B21">
            <w:pPr>
              <w:pStyle w:val="a4"/>
              <w:jc w:val="center"/>
              <w:rPr>
                <w:rFonts w:cs="宋体"/>
                <w:szCs w:val="24"/>
              </w:rPr>
            </w:pPr>
            <w:r>
              <w:rPr>
                <w:rFonts w:cs="宋体" w:hint="eastAsia"/>
                <w:szCs w:val="24"/>
              </w:rPr>
              <w:t>第二十条第（一）项</w:t>
            </w:r>
          </w:p>
        </w:tc>
      </w:tr>
      <w:tr w:rsidR="00131830">
        <w:trPr>
          <w:trHeight w:val="884"/>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信息内容</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本年新</w:t>
            </w:r>
          </w:p>
          <w:p w:rsidR="00131830" w:rsidRDefault="003D0B21">
            <w:pPr>
              <w:pStyle w:val="a4"/>
              <w:jc w:val="center"/>
              <w:rPr>
                <w:rFonts w:cs="宋体"/>
                <w:szCs w:val="24"/>
              </w:rPr>
            </w:pPr>
            <w:r>
              <w:rPr>
                <w:rFonts w:cs="宋体" w:hint="eastAsia"/>
                <w:szCs w:val="24"/>
              </w:rPr>
              <w:t>制作数量</w:t>
            </w:r>
          </w:p>
        </w:tc>
        <w:tc>
          <w:tcPr>
            <w:tcW w:w="1545"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本年新</w:t>
            </w:r>
          </w:p>
          <w:p w:rsidR="00131830" w:rsidRDefault="003D0B21">
            <w:pPr>
              <w:pStyle w:val="a4"/>
              <w:jc w:val="center"/>
              <w:rPr>
                <w:rFonts w:cs="宋体"/>
                <w:szCs w:val="24"/>
              </w:rPr>
            </w:pPr>
            <w:r>
              <w:rPr>
                <w:rFonts w:cs="宋体" w:hint="eastAsia"/>
                <w:szCs w:val="24"/>
              </w:rPr>
              <w:t>公开数量</w:t>
            </w:r>
          </w:p>
        </w:tc>
        <w:tc>
          <w:tcPr>
            <w:tcW w:w="345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对外公开总数量</w:t>
            </w:r>
          </w:p>
        </w:tc>
      </w:tr>
      <w:tr w:rsidR="00131830">
        <w:trPr>
          <w:trHeight w:val="464"/>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规章</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c>
          <w:tcPr>
            <w:tcW w:w="1545"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c>
          <w:tcPr>
            <w:tcW w:w="345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r>
      <w:tr w:rsidR="00131830">
        <w:trPr>
          <w:trHeight w:val="464"/>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规范性文件</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c>
          <w:tcPr>
            <w:tcW w:w="1545"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c>
          <w:tcPr>
            <w:tcW w:w="345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r>
      <w:tr w:rsidR="00131830">
        <w:trPr>
          <w:trHeight w:val="479"/>
          <w:jc w:val="center"/>
        </w:trPr>
        <w:tc>
          <w:tcPr>
            <w:tcW w:w="10290" w:type="dxa"/>
            <w:gridSpan w:val="4"/>
            <w:tcBorders>
              <w:left w:val="single" w:sz="6" w:space="0" w:color="auto"/>
              <w:bottom w:val="single" w:sz="6" w:space="0" w:color="auto"/>
              <w:right w:val="single" w:sz="6" w:space="0" w:color="auto"/>
              <w:tl2br w:val="nil"/>
              <w:tr2bl w:val="nil"/>
            </w:tcBorders>
            <w:shd w:val="clear" w:color="auto" w:fill="C6D9F1"/>
            <w:vAlign w:val="center"/>
          </w:tcPr>
          <w:p w:rsidR="00131830" w:rsidRDefault="003D0B21">
            <w:pPr>
              <w:pStyle w:val="a4"/>
              <w:jc w:val="center"/>
              <w:rPr>
                <w:rFonts w:cs="宋体"/>
                <w:szCs w:val="24"/>
              </w:rPr>
            </w:pPr>
            <w:r>
              <w:rPr>
                <w:rFonts w:cs="宋体" w:hint="eastAsia"/>
                <w:szCs w:val="24"/>
              </w:rPr>
              <w:t>第二十条第（五）项</w:t>
            </w:r>
          </w:p>
        </w:tc>
      </w:tr>
      <w:tr w:rsidR="00131830">
        <w:trPr>
          <w:trHeight w:val="434"/>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信息内容</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上一年项目数量</w:t>
            </w:r>
          </w:p>
        </w:tc>
        <w:tc>
          <w:tcPr>
            <w:tcW w:w="1545"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本年增</w:t>
            </w:r>
            <w:r>
              <w:rPr>
                <w:rFonts w:cs="宋体" w:hint="eastAsia"/>
                <w:szCs w:val="24"/>
              </w:rPr>
              <w:t>/</w:t>
            </w:r>
            <w:r>
              <w:rPr>
                <w:rFonts w:cs="宋体" w:hint="eastAsia"/>
                <w:szCs w:val="24"/>
              </w:rPr>
              <w:t>减</w:t>
            </w:r>
          </w:p>
        </w:tc>
        <w:tc>
          <w:tcPr>
            <w:tcW w:w="345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处理决定数量</w:t>
            </w:r>
          </w:p>
        </w:tc>
      </w:tr>
      <w:tr w:rsidR="00131830">
        <w:trPr>
          <w:trHeight w:val="509"/>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行政许可</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16</w:t>
            </w:r>
          </w:p>
        </w:tc>
        <w:tc>
          <w:tcPr>
            <w:tcW w:w="1545"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减</w:t>
            </w:r>
            <w:r>
              <w:rPr>
                <w:rFonts w:cs="宋体" w:hint="eastAsia"/>
                <w:szCs w:val="24"/>
              </w:rPr>
              <w:t>3</w:t>
            </w:r>
          </w:p>
        </w:tc>
        <w:tc>
          <w:tcPr>
            <w:tcW w:w="345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297</w:t>
            </w:r>
          </w:p>
        </w:tc>
      </w:tr>
      <w:tr w:rsidR="00131830">
        <w:trPr>
          <w:trHeight w:val="404"/>
          <w:jc w:val="center"/>
        </w:trPr>
        <w:tc>
          <w:tcPr>
            <w:tcW w:w="10290" w:type="dxa"/>
            <w:gridSpan w:val="4"/>
            <w:tcBorders>
              <w:left w:val="single" w:sz="6" w:space="0" w:color="auto"/>
              <w:bottom w:val="single" w:sz="6" w:space="0" w:color="auto"/>
              <w:right w:val="single" w:sz="6" w:space="0" w:color="auto"/>
              <w:tl2br w:val="nil"/>
              <w:tr2bl w:val="nil"/>
            </w:tcBorders>
            <w:shd w:val="clear" w:color="auto" w:fill="C6D9F1"/>
            <w:vAlign w:val="center"/>
          </w:tcPr>
          <w:p w:rsidR="00131830" w:rsidRDefault="003D0B21">
            <w:pPr>
              <w:pStyle w:val="a4"/>
              <w:jc w:val="center"/>
              <w:rPr>
                <w:rFonts w:cs="宋体"/>
                <w:szCs w:val="24"/>
              </w:rPr>
            </w:pPr>
            <w:r>
              <w:rPr>
                <w:rFonts w:cs="宋体" w:hint="eastAsia"/>
                <w:szCs w:val="24"/>
              </w:rPr>
              <w:lastRenderedPageBreak/>
              <w:t>第二十条第（六）项</w:t>
            </w:r>
          </w:p>
        </w:tc>
      </w:tr>
      <w:tr w:rsidR="00131830">
        <w:trPr>
          <w:trHeight w:val="449"/>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信息内容</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上一年项目数量</w:t>
            </w:r>
          </w:p>
        </w:tc>
        <w:tc>
          <w:tcPr>
            <w:tcW w:w="1545"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本年增</w:t>
            </w:r>
            <w:r>
              <w:rPr>
                <w:rFonts w:cs="宋体" w:hint="eastAsia"/>
                <w:szCs w:val="24"/>
              </w:rPr>
              <w:t>/</w:t>
            </w:r>
            <w:r>
              <w:rPr>
                <w:rFonts w:cs="宋体" w:hint="eastAsia"/>
                <w:szCs w:val="24"/>
              </w:rPr>
              <w:t>减</w:t>
            </w:r>
          </w:p>
        </w:tc>
        <w:tc>
          <w:tcPr>
            <w:tcW w:w="345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处理决定数量</w:t>
            </w:r>
          </w:p>
        </w:tc>
      </w:tr>
      <w:tr w:rsidR="00131830">
        <w:trPr>
          <w:trHeight w:val="419"/>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行政处罚</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3</w:t>
            </w:r>
          </w:p>
        </w:tc>
        <w:tc>
          <w:tcPr>
            <w:tcW w:w="1545"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c>
          <w:tcPr>
            <w:tcW w:w="345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731</w:t>
            </w:r>
          </w:p>
        </w:tc>
      </w:tr>
      <w:tr w:rsidR="00131830">
        <w:trPr>
          <w:trHeight w:val="404"/>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行政强制</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16</w:t>
            </w:r>
          </w:p>
        </w:tc>
        <w:tc>
          <w:tcPr>
            <w:tcW w:w="1545"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c>
          <w:tcPr>
            <w:tcW w:w="345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r>
      <w:tr w:rsidR="00131830">
        <w:trPr>
          <w:trHeight w:val="479"/>
          <w:jc w:val="center"/>
        </w:trPr>
        <w:tc>
          <w:tcPr>
            <w:tcW w:w="10290" w:type="dxa"/>
            <w:gridSpan w:val="4"/>
            <w:tcBorders>
              <w:left w:val="single" w:sz="6" w:space="0" w:color="auto"/>
              <w:bottom w:val="single" w:sz="6" w:space="0" w:color="auto"/>
              <w:right w:val="single" w:sz="6" w:space="0" w:color="auto"/>
              <w:tl2br w:val="nil"/>
              <w:tr2bl w:val="nil"/>
            </w:tcBorders>
            <w:shd w:val="clear" w:color="auto" w:fill="C6D9F1"/>
            <w:vAlign w:val="center"/>
          </w:tcPr>
          <w:p w:rsidR="00131830" w:rsidRDefault="003D0B21">
            <w:pPr>
              <w:pStyle w:val="a4"/>
              <w:jc w:val="center"/>
              <w:rPr>
                <w:rFonts w:cs="宋体"/>
                <w:szCs w:val="24"/>
              </w:rPr>
            </w:pPr>
            <w:r>
              <w:rPr>
                <w:rFonts w:cs="宋体" w:hint="eastAsia"/>
                <w:szCs w:val="24"/>
              </w:rPr>
              <w:t>第二十条第（八）项</w:t>
            </w:r>
          </w:p>
        </w:tc>
      </w:tr>
      <w:tr w:rsidR="00131830">
        <w:trPr>
          <w:trHeight w:val="479"/>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信息内容</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上一年项目数量</w:t>
            </w:r>
          </w:p>
        </w:tc>
        <w:tc>
          <w:tcPr>
            <w:tcW w:w="4995" w:type="dxa"/>
            <w:gridSpan w:val="2"/>
            <w:tcBorders>
              <w:bottom w:val="single" w:sz="6" w:space="0" w:color="auto"/>
              <w:right w:val="single" w:sz="6" w:space="0" w:color="000000"/>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本年增</w:t>
            </w:r>
            <w:r>
              <w:rPr>
                <w:rFonts w:cs="宋体" w:hint="eastAsia"/>
                <w:szCs w:val="24"/>
              </w:rPr>
              <w:t>/</w:t>
            </w:r>
            <w:r>
              <w:rPr>
                <w:rFonts w:cs="宋体" w:hint="eastAsia"/>
                <w:szCs w:val="24"/>
              </w:rPr>
              <w:t>减</w:t>
            </w:r>
          </w:p>
        </w:tc>
      </w:tr>
      <w:tr w:rsidR="00131830">
        <w:trPr>
          <w:trHeight w:val="404"/>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行政事业性收费</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c>
          <w:tcPr>
            <w:tcW w:w="4995" w:type="dxa"/>
            <w:gridSpan w:val="2"/>
            <w:tcBorders>
              <w:bottom w:val="single" w:sz="6" w:space="0" w:color="auto"/>
              <w:right w:val="single" w:sz="6" w:space="0" w:color="000000"/>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0</w:t>
            </w:r>
          </w:p>
        </w:tc>
      </w:tr>
      <w:tr w:rsidR="00131830">
        <w:trPr>
          <w:trHeight w:val="479"/>
          <w:jc w:val="center"/>
        </w:trPr>
        <w:tc>
          <w:tcPr>
            <w:tcW w:w="10290" w:type="dxa"/>
            <w:gridSpan w:val="4"/>
            <w:tcBorders>
              <w:left w:val="single" w:sz="6" w:space="0" w:color="auto"/>
              <w:bottom w:val="single" w:sz="6" w:space="0" w:color="auto"/>
              <w:right w:val="single" w:sz="6" w:space="0" w:color="auto"/>
              <w:tl2br w:val="nil"/>
              <w:tr2bl w:val="nil"/>
            </w:tcBorders>
            <w:shd w:val="clear" w:color="auto" w:fill="C6D9F1"/>
            <w:vAlign w:val="center"/>
          </w:tcPr>
          <w:p w:rsidR="00131830" w:rsidRDefault="003D0B21">
            <w:pPr>
              <w:pStyle w:val="a4"/>
              <w:jc w:val="center"/>
              <w:rPr>
                <w:rFonts w:cs="宋体"/>
                <w:szCs w:val="24"/>
              </w:rPr>
            </w:pPr>
            <w:r>
              <w:rPr>
                <w:rFonts w:cs="宋体" w:hint="eastAsia"/>
                <w:szCs w:val="24"/>
              </w:rPr>
              <w:t>第二十条第（九）项</w:t>
            </w:r>
          </w:p>
        </w:tc>
      </w:tr>
      <w:tr w:rsidR="00131830">
        <w:trPr>
          <w:trHeight w:val="479"/>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信息内容</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采购项目数量</w:t>
            </w:r>
          </w:p>
        </w:tc>
        <w:tc>
          <w:tcPr>
            <w:tcW w:w="4995" w:type="dxa"/>
            <w:gridSpan w:val="2"/>
            <w:tcBorders>
              <w:bottom w:val="single" w:sz="6" w:space="0" w:color="auto"/>
              <w:right w:val="single" w:sz="6" w:space="0" w:color="000000"/>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采购总金额</w:t>
            </w:r>
          </w:p>
        </w:tc>
      </w:tr>
      <w:tr w:rsidR="00131830">
        <w:trPr>
          <w:trHeight w:val="539"/>
          <w:jc w:val="center"/>
        </w:trPr>
        <w:tc>
          <w:tcPr>
            <w:tcW w:w="3120" w:type="dxa"/>
            <w:tcBorders>
              <w:left w:val="single" w:sz="6" w:space="0" w:color="auto"/>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政府集中采购</w:t>
            </w:r>
          </w:p>
        </w:tc>
        <w:tc>
          <w:tcPr>
            <w:tcW w:w="2190" w:type="dxa"/>
            <w:tcBorders>
              <w:bottom w:val="single" w:sz="6" w:space="0" w:color="auto"/>
              <w:right w:val="single" w:sz="6" w:space="0" w:color="auto"/>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30</w:t>
            </w:r>
          </w:p>
        </w:tc>
        <w:tc>
          <w:tcPr>
            <w:tcW w:w="4995" w:type="dxa"/>
            <w:gridSpan w:val="2"/>
            <w:tcBorders>
              <w:bottom w:val="single" w:sz="6" w:space="0" w:color="auto"/>
              <w:right w:val="single" w:sz="6" w:space="0" w:color="000000"/>
              <w:tl2br w:val="nil"/>
              <w:tr2bl w:val="nil"/>
            </w:tcBorders>
            <w:shd w:val="clear" w:color="auto" w:fill="auto"/>
            <w:vAlign w:val="center"/>
          </w:tcPr>
          <w:p w:rsidR="00131830" w:rsidRDefault="003D0B21">
            <w:pPr>
              <w:pStyle w:val="a4"/>
              <w:jc w:val="center"/>
              <w:rPr>
                <w:rFonts w:cs="宋体"/>
                <w:szCs w:val="24"/>
              </w:rPr>
            </w:pPr>
            <w:r>
              <w:rPr>
                <w:rFonts w:cs="宋体" w:hint="eastAsia"/>
                <w:szCs w:val="24"/>
              </w:rPr>
              <w:t>1740.70</w:t>
            </w:r>
            <w:r>
              <w:rPr>
                <w:rFonts w:cs="宋体" w:hint="eastAsia"/>
                <w:szCs w:val="24"/>
              </w:rPr>
              <w:t>万元</w:t>
            </w:r>
          </w:p>
        </w:tc>
      </w:tr>
    </w:tbl>
    <w:p w:rsidR="00131830" w:rsidRDefault="003D0B21">
      <w:pPr>
        <w:pStyle w:val="a4"/>
        <w:rPr>
          <w:rFonts w:ascii="Arial" w:hAnsi="Arial"/>
          <w:color w:val="222222"/>
          <w:sz w:val="21"/>
        </w:rPr>
      </w:pPr>
      <w:r>
        <w:rPr>
          <w:rFonts w:ascii="Arial" w:hAnsi="Arial"/>
          <w:color w:val="222222"/>
          <w:sz w:val="21"/>
        </w:rPr>
        <w:t xml:space="preserve">　　</w:t>
      </w:r>
      <w:r>
        <w:rPr>
          <w:rFonts w:ascii="方正黑体_GBK" w:eastAsia="方正黑体_GBK" w:cs="楷体_GB2312" w:hint="eastAsia"/>
          <w:bCs/>
          <w:sz w:val="32"/>
          <w:szCs w:val="32"/>
          <w:shd w:val="clear" w:color="auto" w:fill="FFFFFF"/>
        </w:rPr>
        <w:t>三、收到和处理政府信息公开申请情况</w:t>
      </w:r>
    </w:p>
    <w:tbl>
      <w:tblPr>
        <w:tblW w:w="10291" w:type="dxa"/>
        <w:jc w:val="center"/>
        <w:tblBorders>
          <w:insideH w:val="outset" w:sz="6" w:space="0" w:color="auto"/>
          <w:insideV w:val="outset" w:sz="6" w:space="0" w:color="auto"/>
        </w:tblBorders>
        <w:tblCellMar>
          <w:left w:w="0" w:type="dxa"/>
          <w:right w:w="0" w:type="dxa"/>
        </w:tblCellMar>
        <w:tblLook w:val="0000"/>
      </w:tblPr>
      <w:tblGrid>
        <w:gridCol w:w="783"/>
        <w:gridCol w:w="1055"/>
        <w:gridCol w:w="3045"/>
        <w:gridCol w:w="714"/>
        <w:gridCol w:w="765"/>
        <w:gridCol w:w="850"/>
        <w:gridCol w:w="868"/>
        <w:gridCol w:w="868"/>
        <w:gridCol w:w="561"/>
        <w:gridCol w:w="782"/>
      </w:tblGrid>
      <w:tr w:rsidR="00131830">
        <w:trPr>
          <w:jc w:val="center"/>
        </w:trPr>
        <w:tc>
          <w:tcPr>
            <w:tcW w:w="4305" w:type="dxa"/>
            <w:gridSpan w:val="3"/>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（本列数据的勾稽关系为：第一项加第二项之和，等于第三项加第四项之和）</w:t>
            </w:r>
          </w:p>
        </w:tc>
        <w:tc>
          <w:tcPr>
            <w:tcW w:w="4770" w:type="dxa"/>
            <w:gridSpan w:val="7"/>
            <w:tcBorders>
              <w:top w:val="single" w:sz="6" w:space="0" w:color="auto"/>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申请人情况</w:t>
            </w:r>
          </w:p>
        </w:tc>
      </w:tr>
      <w:tr w:rsidR="00131830">
        <w:trPr>
          <w:jc w:val="center"/>
        </w:trPr>
        <w:tc>
          <w:tcPr>
            <w:tcW w:w="4305" w:type="dxa"/>
            <w:gridSpan w:val="3"/>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630" w:type="dxa"/>
            <w:vMerge w:val="restart"/>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自然人</w:t>
            </w:r>
          </w:p>
        </w:tc>
        <w:tc>
          <w:tcPr>
            <w:tcW w:w="3450" w:type="dxa"/>
            <w:gridSpan w:val="5"/>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法人或其他组织</w:t>
            </w:r>
          </w:p>
        </w:tc>
        <w:tc>
          <w:tcPr>
            <w:tcW w:w="675" w:type="dxa"/>
            <w:vMerge w:val="restart"/>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总计</w:t>
            </w:r>
          </w:p>
        </w:tc>
      </w:tr>
      <w:tr w:rsidR="00131830">
        <w:trPr>
          <w:jc w:val="center"/>
        </w:trPr>
        <w:tc>
          <w:tcPr>
            <w:tcW w:w="4305" w:type="dxa"/>
            <w:gridSpan w:val="3"/>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6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商业企业</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科研机构</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社会公益组织</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法律服务机构</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其他</w:t>
            </w:r>
          </w:p>
        </w:tc>
        <w:tc>
          <w:tcPr>
            <w:tcW w:w="69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r>
      <w:tr w:rsidR="00131830">
        <w:trPr>
          <w:jc w:val="center"/>
        </w:trPr>
        <w:tc>
          <w:tcPr>
            <w:tcW w:w="4305" w:type="dxa"/>
            <w:gridSpan w:val="3"/>
            <w:tcBorders>
              <w:left w:val="single" w:sz="6" w:space="0" w:color="auto"/>
              <w:bottom w:val="single" w:sz="6" w:space="0" w:color="auto"/>
              <w:right w:val="single" w:sz="6" w:space="0" w:color="auto"/>
              <w:tl2br w:val="nil"/>
              <w:tr2bl w:val="nil"/>
            </w:tcBorders>
            <w:shd w:val="clear" w:color="auto" w:fill="auto"/>
            <w:vAlign w:val="center"/>
          </w:tcPr>
          <w:p w:rsidR="00131830" w:rsidRPr="003D3418" w:rsidRDefault="003D0B21" w:rsidP="003D3418">
            <w:pPr>
              <w:pStyle w:val="a8"/>
              <w:widowControl/>
              <w:spacing w:after="180"/>
              <w:jc w:val="left"/>
              <w:rPr>
                <w:rFonts w:ascii="宋体" w:cs="宋体"/>
                <w:kern w:val="0"/>
                <w:sz w:val="24"/>
                <w:szCs w:val="24"/>
              </w:rPr>
            </w:pPr>
            <w:r w:rsidRPr="003D3418">
              <w:rPr>
                <w:rFonts w:ascii="宋体" w:cs="宋体"/>
                <w:kern w:val="0"/>
                <w:sz w:val="24"/>
                <w:szCs w:val="24"/>
              </w:rPr>
              <w:t>一、本年新收政府信息公开申请数量</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48</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48</w:t>
            </w:r>
          </w:p>
        </w:tc>
      </w:tr>
      <w:tr w:rsidR="00131830">
        <w:trPr>
          <w:jc w:val="center"/>
        </w:trPr>
        <w:tc>
          <w:tcPr>
            <w:tcW w:w="4305" w:type="dxa"/>
            <w:gridSpan w:val="3"/>
            <w:tcBorders>
              <w:left w:val="single" w:sz="6" w:space="0" w:color="auto"/>
              <w:bottom w:val="single" w:sz="6" w:space="0" w:color="auto"/>
              <w:right w:val="single" w:sz="6" w:space="0" w:color="auto"/>
              <w:tl2br w:val="nil"/>
              <w:tr2bl w:val="nil"/>
            </w:tcBorders>
            <w:shd w:val="clear" w:color="auto" w:fill="auto"/>
            <w:vAlign w:val="center"/>
          </w:tcPr>
          <w:p w:rsidR="00131830" w:rsidRPr="003D3418" w:rsidRDefault="003D0B21" w:rsidP="003D3418">
            <w:pPr>
              <w:pStyle w:val="a8"/>
              <w:widowControl/>
              <w:spacing w:after="180"/>
              <w:jc w:val="left"/>
              <w:rPr>
                <w:rFonts w:ascii="宋体" w:cs="宋体"/>
                <w:kern w:val="0"/>
                <w:sz w:val="24"/>
                <w:szCs w:val="24"/>
              </w:rPr>
            </w:pPr>
            <w:r w:rsidRPr="003D3418">
              <w:rPr>
                <w:rFonts w:ascii="宋体" w:cs="宋体"/>
                <w:kern w:val="0"/>
                <w:sz w:val="24"/>
                <w:szCs w:val="24"/>
              </w:rPr>
              <w:t>二、上年结转政府信息公开申请数量</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val="restart"/>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3D3418">
              <w:rPr>
                <w:rFonts w:ascii="宋体" w:cs="宋体"/>
                <w:kern w:val="0"/>
                <w:sz w:val="24"/>
                <w:szCs w:val="24"/>
              </w:rPr>
              <w:t>三、本年度办理结果</w:t>
            </w:r>
          </w:p>
        </w:tc>
        <w:tc>
          <w:tcPr>
            <w:tcW w:w="3600" w:type="dxa"/>
            <w:gridSpan w:val="2"/>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（一）予以公开</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6</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6</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3600" w:type="dxa"/>
            <w:gridSpan w:val="2"/>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（二）部分公开（区分处理的，只计这一情形，不计其他情形）</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3</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3</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val="restart"/>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（三）不予公开</w:t>
            </w: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1.</w:t>
            </w:r>
            <w:r w:rsidRPr="00446050">
              <w:rPr>
                <w:rFonts w:ascii="宋体" w:cs="宋体"/>
                <w:kern w:val="0"/>
                <w:sz w:val="20"/>
                <w:szCs w:val="20"/>
              </w:rPr>
              <w:t>属于国家秘密</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2.</w:t>
            </w:r>
            <w:r w:rsidRPr="00446050">
              <w:rPr>
                <w:rFonts w:ascii="宋体" w:cs="宋体"/>
                <w:kern w:val="0"/>
                <w:sz w:val="20"/>
                <w:szCs w:val="20"/>
              </w:rPr>
              <w:t>其他法律行政法规禁止公开</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3.</w:t>
            </w:r>
            <w:r w:rsidRPr="00446050">
              <w:rPr>
                <w:rFonts w:ascii="宋体" w:cs="宋体"/>
                <w:kern w:val="0"/>
                <w:sz w:val="20"/>
                <w:szCs w:val="20"/>
              </w:rPr>
              <w:t>危及</w:t>
            </w:r>
            <w:r w:rsidRPr="00446050">
              <w:rPr>
                <w:rFonts w:ascii="宋体" w:cs="宋体"/>
                <w:kern w:val="0"/>
                <w:sz w:val="20"/>
                <w:szCs w:val="20"/>
              </w:rPr>
              <w:t>“</w:t>
            </w:r>
            <w:r w:rsidRPr="00446050">
              <w:rPr>
                <w:rFonts w:ascii="宋体" w:cs="宋体"/>
                <w:kern w:val="0"/>
                <w:sz w:val="20"/>
                <w:szCs w:val="20"/>
              </w:rPr>
              <w:t>三安全一稳定</w:t>
            </w:r>
            <w:r w:rsidRPr="00446050">
              <w:rPr>
                <w:rFonts w:ascii="宋体" w:cs="宋体"/>
                <w:kern w:val="0"/>
                <w:sz w:val="20"/>
                <w:szCs w:val="20"/>
              </w:rPr>
              <w:t>”</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4.</w:t>
            </w:r>
            <w:r w:rsidRPr="00446050">
              <w:rPr>
                <w:rFonts w:ascii="宋体" w:cs="宋体"/>
                <w:kern w:val="0"/>
                <w:sz w:val="20"/>
                <w:szCs w:val="20"/>
              </w:rPr>
              <w:t>保护第三方合法权益</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1</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1</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5.</w:t>
            </w:r>
            <w:r w:rsidRPr="00446050">
              <w:rPr>
                <w:rFonts w:ascii="宋体" w:cs="宋体"/>
                <w:kern w:val="0"/>
                <w:sz w:val="20"/>
                <w:szCs w:val="20"/>
              </w:rPr>
              <w:t>属于三类内部事务信息</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6.</w:t>
            </w:r>
            <w:r w:rsidRPr="00446050">
              <w:rPr>
                <w:rFonts w:ascii="宋体" w:cs="宋体"/>
                <w:kern w:val="0"/>
                <w:sz w:val="20"/>
                <w:szCs w:val="20"/>
              </w:rPr>
              <w:t>属于四类过程性信息</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7.</w:t>
            </w:r>
            <w:r w:rsidRPr="00446050">
              <w:rPr>
                <w:rFonts w:ascii="宋体" w:cs="宋体"/>
                <w:kern w:val="0"/>
                <w:sz w:val="20"/>
                <w:szCs w:val="20"/>
              </w:rPr>
              <w:t>属于行政执法案卷</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8.</w:t>
            </w:r>
            <w:r w:rsidRPr="00446050">
              <w:rPr>
                <w:rFonts w:ascii="宋体" w:cs="宋体"/>
                <w:kern w:val="0"/>
                <w:sz w:val="20"/>
                <w:szCs w:val="20"/>
              </w:rPr>
              <w:t>属于行政查询事项</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val="restart"/>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（四）无法提供</w:t>
            </w: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1.</w:t>
            </w:r>
            <w:r w:rsidRPr="00446050">
              <w:rPr>
                <w:rFonts w:ascii="宋体" w:cs="宋体"/>
                <w:kern w:val="0"/>
                <w:sz w:val="20"/>
                <w:szCs w:val="20"/>
              </w:rPr>
              <w:t>本机关不掌握相关政府信息</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30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30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2.</w:t>
            </w:r>
            <w:r w:rsidRPr="00446050">
              <w:rPr>
                <w:rFonts w:ascii="宋体" w:cs="宋体"/>
                <w:kern w:val="0"/>
                <w:sz w:val="20"/>
                <w:szCs w:val="20"/>
              </w:rPr>
              <w:t>没有现成信息需要另行制作</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1</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1</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3.</w:t>
            </w:r>
            <w:r w:rsidRPr="00446050">
              <w:rPr>
                <w:rFonts w:ascii="宋体" w:cs="宋体"/>
                <w:kern w:val="0"/>
                <w:sz w:val="20"/>
                <w:szCs w:val="20"/>
              </w:rPr>
              <w:t>补正后申请内容仍不明确</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val="restart"/>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（五）不予处理</w:t>
            </w: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1.</w:t>
            </w:r>
            <w:r w:rsidRPr="00446050">
              <w:rPr>
                <w:rFonts w:ascii="宋体" w:cs="宋体"/>
                <w:kern w:val="0"/>
                <w:sz w:val="20"/>
                <w:szCs w:val="20"/>
              </w:rPr>
              <w:t>信访举报投诉类申请</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2.</w:t>
            </w:r>
            <w:r w:rsidRPr="00446050">
              <w:rPr>
                <w:rFonts w:ascii="宋体" w:cs="宋体"/>
                <w:kern w:val="0"/>
                <w:sz w:val="20"/>
                <w:szCs w:val="20"/>
              </w:rPr>
              <w:t>重复申请</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3.</w:t>
            </w:r>
            <w:r w:rsidRPr="00446050">
              <w:rPr>
                <w:rFonts w:ascii="宋体" w:cs="宋体"/>
                <w:kern w:val="0"/>
                <w:sz w:val="20"/>
                <w:szCs w:val="20"/>
              </w:rPr>
              <w:t>要求提供公开出版物</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4.</w:t>
            </w:r>
            <w:r w:rsidRPr="00446050">
              <w:rPr>
                <w:rFonts w:ascii="宋体" w:cs="宋体"/>
                <w:kern w:val="0"/>
                <w:sz w:val="20"/>
                <w:szCs w:val="20"/>
              </w:rPr>
              <w:t>无正当理由大量反复申请</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930" w:type="dxa"/>
            <w:vMerge/>
            <w:tcBorders>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267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5.</w:t>
            </w:r>
            <w:r w:rsidRPr="00446050">
              <w:rPr>
                <w:rFonts w:ascii="宋体" w:cs="宋体"/>
                <w:kern w:val="0"/>
                <w:sz w:val="20"/>
                <w:szCs w:val="20"/>
              </w:rPr>
              <w:t>要求行政机关确认或重新出具已获取信息</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3600" w:type="dxa"/>
            <w:gridSpan w:val="2"/>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（六）其他处理</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7</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7</w:t>
            </w:r>
          </w:p>
        </w:tc>
      </w:tr>
      <w:tr w:rsidR="00131830">
        <w:trPr>
          <w:jc w:val="center"/>
        </w:trPr>
        <w:tc>
          <w:tcPr>
            <w:tcW w:w="69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131830" w:rsidP="00446050">
            <w:pPr>
              <w:pStyle w:val="a8"/>
              <w:widowControl/>
              <w:spacing w:after="180"/>
              <w:jc w:val="center"/>
              <w:rPr>
                <w:rFonts w:ascii="宋体" w:cs="宋体"/>
                <w:kern w:val="0"/>
                <w:sz w:val="20"/>
                <w:szCs w:val="20"/>
              </w:rPr>
            </w:pPr>
          </w:p>
        </w:tc>
        <w:tc>
          <w:tcPr>
            <w:tcW w:w="3600" w:type="dxa"/>
            <w:gridSpan w:val="2"/>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（七）总计</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48</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48</w:t>
            </w:r>
          </w:p>
        </w:tc>
      </w:tr>
      <w:tr w:rsidR="00131830">
        <w:trPr>
          <w:jc w:val="center"/>
        </w:trPr>
        <w:tc>
          <w:tcPr>
            <w:tcW w:w="4305" w:type="dxa"/>
            <w:gridSpan w:val="3"/>
            <w:tcBorders>
              <w:left w:val="single" w:sz="6" w:space="0" w:color="auto"/>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D018C3">
              <w:rPr>
                <w:rFonts w:ascii="宋体" w:cs="宋体"/>
                <w:kern w:val="0"/>
                <w:sz w:val="24"/>
                <w:szCs w:val="24"/>
              </w:rPr>
              <w:t>四、结转下年度继续办理</w:t>
            </w:r>
          </w:p>
        </w:tc>
        <w:tc>
          <w:tcPr>
            <w:tcW w:w="63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50"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76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49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c>
          <w:tcPr>
            <w:tcW w:w="675" w:type="dxa"/>
            <w:tcBorders>
              <w:bottom w:val="single" w:sz="6" w:space="0" w:color="auto"/>
              <w:right w:val="single" w:sz="6" w:space="0" w:color="auto"/>
              <w:tl2br w:val="nil"/>
              <w:tr2bl w:val="nil"/>
            </w:tcBorders>
            <w:shd w:val="clear" w:color="auto" w:fill="auto"/>
            <w:vAlign w:val="center"/>
          </w:tcPr>
          <w:p w:rsidR="00131830" w:rsidRPr="00446050" w:rsidRDefault="003D0B21" w:rsidP="00446050">
            <w:pPr>
              <w:pStyle w:val="a8"/>
              <w:widowControl/>
              <w:spacing w:after="180"/>
              <w:jc w:val="center"/>
              <w:rPr>
                <w:rFonts w:ascii="宋体" w:cs="宋体"/>
                <w:kern w:val="0"/>
                <w:sz w:val="20"/>
                <w:szCs w:val="20"/>
              </w:rPr>
            </w:pPr>
            <w:r w:rsidRPr="00446050">
              <w:rPr>
                <w:rFonts w:ascii="宋体" w:cs="宋体"/>
                <w:kern w:val="0"/>
                <w:sz w:val="20"/>
                <w:szCs w:val="20"/>
              </w:rPr>
              <w:t>0</w:t>
            </w:r>
          </w:p>
        </w:tc>
      </w:tr>
    </w:tbl>
    <w:p w:rsidR="00131830" w:rsidRDefault="003D0B21">
      <w:pPr>
        <w:pStyle w:val="a4"/>
        <w:rPr>
          <w:rFonts w:ascii="Arial" w:hAnsi="Arial"/>
          <w:color w:val="222222"/>
          <w:sz w:val="21"/>
        </w:rPr>
      </w:pPr>
      <w:r>
        <w:rPr>
          <w:rFonts w:ascii="Arial" w:hAnsi="Arial"/>
          <w:color w:val="222222"/>
          <w:sz w:val="21"/>
        </w:rPr>
        <w:t xml:space="preserve">　　</w:t>
      </w:r>
      <w:r>
        <w:rPr>
          <w:rFonts w:ascii="方正黑体_GBK" w:eastAsia="方正黑体_GBK" w:cs="楷体_GB2312" w:hint="eastAsia"/>
          <w:bCs/>
          <w:sz w:val="32"/>
          <w:szCs w:val="32"/>
          <w:shd w:val="clear" w:color="auto" w:fill="FFFFFF"/>
        </w:rPr>
        <w:t>四、政府信息公开行政复议、行政诉讼情况</w:t>
      </w:r>
    </w:p>
    <w:tbl>
      <w:tblPr>
        <w:tblW w:w="10291" w:type="dxa"/>
        <w:jc w:val="center"/>
        <w:tblBorders>
          <w:insideH w:val="outset" w:sz="6" w:space="0" w:color="auto"/>
          <w:insideV w:val="outset" w:sz="6" w:space="0" w:color="auto"/>
        </w:tblBorders>
        <w:tblCellMar>
          <w:left w:w="0" w:type="dxa"/>
          <w:right w:w="0" w:type="dxa"/>
        </w:tblCellMar>
        <w:tblLook w:val="0000"/>
      </w:tblPr>
      <w:tblGrid>
        <w:gridCol w:w="683"/>
        <w:gridCol w:w="684"/>
        <w:gridCol w:w="684"/>
        <w:gridCol w:w="684"/>
        <w:gridCol w:w="716"/>
        <w:gridCol w:w="684"/>
        <w:gridCol w:w="684"/>
        <w:gridCol w:w="684"/>
        <w:gridCol w:w="684"/>
        <w:gridCol w:w="684"/>
        <w:gridCol w:w="684"/>
        <w:gridCol w:w="684"/>
        <w:gridCol w:w="684"/>
        <w:gridCol w:w="684"/>
        <w:gridCol w:w="684"/>
      </w:tblGrid>
      <w:tr w:rsidR="00131830">
        <w:trPr>
          <w:jc w:val="center"/>
        </w:trPr>
        <w:tc>
          <w:tcPr>
            <w:tcW w:w="3075" w:type="dxa"/>
            <w:gridSpan w:val="5"/>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行政复议</w:t>
            </w:r>
          </w:p>
        </w:tc>
        <w:tc>
          <w:tcPr>
            <w:tcW w:w="6000" w:type="dxa"/>
            <w:gridSpan w:val="10"/>
            <w:tcBorders>
              <w:top w:val="single" w:sz="6" w:space="0" w:color="auto"/>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行政诉讼</w:t>
            </w:r>
            <w:bookmarkStart w:id="0" w:name="_GoBack"/>
            <w:bookmarkEnd w:id="0"/>
          </w:p>
        </w:tc>
      </w:tr>
      <w:tr w:rsidR="00131830" w:rsidTr="00C84BE4">
        <w:trPr>
          <w:jc w:val="center"/>
        </w:trPr>
        <w:tc>
          <w:tcPr>
            <w:tcW w:w="600" w:type="dxa"/>
            <w:vMerge w:val="restart"/>
            <w:tcBorders>
              <w:left w:val="single" w:sz="6" w:space="0" w:color="auto"/>
              <w:bottom w:val="single" w:sz="6" w:space="0" w:color="auto"/>
              <w:right w:val="single" w:sz="6" w:space="0" w:color="auto"/>
              <w:tl2br w:val="nil"/>
              <w:tr2bl w:val="nil"/>
            </w:tcBorders>
            <w:shd w:val="clear" w:color="auto" w:fill="auto"/>
            <w:textDirection w:val="tbRlV"/>
            <w:vAlign w:val="center"/>
          </w:tcPr>
          <w:p w:rsidR="00131830" w:rsidRPr="001827B3" w:rsidRDefault="003D0B21" w:rsidP="00C84BE4">
            <w:pPr>
              <w:pStyle w:val="a4"/>
              <w:ind w:left="113" w:right="113"/>
              <w:jc w:val="center"/>
              <w:rPr>
                <w:rFonts w:ascii="Arial" w:hAnsi="Arial"/>
                <w:color w:val="222222"/>
                <w:spacing w:val="40"/>
                <w:szCs w:val="24"/>
              </w:rPr>
            </w:pPr>
            <w:r w:rsidRPr="001827B3">
              <w:rPr>
                <w:rFonts w:ascii="Arial" w:hAnsi="Arial"/>
                <w:color w:val="222222"/>
                <w:spacing w:val="40"/>
                <w:szCs w:val="24"/>
              </w:rPr>
              <w:t>结果维持</w:t>
            </w:r>
          </w:p>
        </w:tc>
        <w:tc>
          <w:tcPr>
            <w:tcW w:w="600" w:type="dxa"/>
            <w:vMerge w:val="restart"/>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C84BE4">
            <w:pPr>
              <w:pStyle w:val="a4"/>
              <w:ind w:left="113" w:right="113"/>
              <w:jc w:val="center"/>
              <w:rPr>
                <w:rFonts w:ascii="Arial" w:hAnsi="Arial"/>
                <w:color w:val="222222"/>
                <w:spacing w:val="40"/>
                <w:szCs w:val="24"/>
              </w:rPr>
            </w:pPr>
            <w:r w:rsidRPr="001827B3">
              <w:rPr>
                <w:rFonts w:ascii="Arial" w:hAnsi="Arial"/>
                <w:color w:val="222222"/>
                <w:spacing w:val="40"/>
                <w:szCs w:val="24"/>
              </w:rPr>
              <w:t>结果纠正</w:t>
            </w:r>
          </w:p>
        </w:tc>
        <w:tc>
          <w:tcPr>
            <w:tcW w:w="600" w:type="dxa"/>
            <w:vMerge w:val="restart"/>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C84BE4">
            <w:pPr>
              <w:pStyle w:val="a4"/>
              <w:ind w:left="113" w:right="113"/>
              <w:jc w:val="center"/>
              <w:rPr>
                <w:rFonts w:ascii="Arial" w:hAnsi="Arial"/>
                <w:color w:val="222222"/>
                <w:spacing w:val="40"/>
                <w:szCs w:val="24"/>
              </w:rPr>
            </w:pPr>
            <w:r w:rsidRPr="001827B3">
              <w:rPr>
                <w:rFonts w:ascii="Arial" w:hAnsi="Arial"/>
                <w:color w:val="222222"/>
                <w:spacing w:val="40"/>
                <w:szCs w:val="24"/>
              </w:rPr>
              <w:t>其他结果</w:t>
            </w:r>
          </w:p>
        </w:tc>
        <w:tc>
          <w:tcPr>
            <w:tcW w:w="600" w:type="dxa"/>
            <w:vMerge w:val="restart"/>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C84BE4">
            <w:pPr>
              <w:pStyle w:val="a4"/>
              <w:ind w:left="113" w:right="113"/>
              <w:jc w:val="center"/>
              <w:rPr>
                <w:rFonts w:ascii="Arial" w:hAnsi="Arial"/>
                <w:color w:val="222222"/>
                <w:spacing w:val="40"/>
                <w:szCs w:val="24"/>
              </w:rPr>
            </w:pPr>
            <w:r w:rsidRPr="001827B3">
              <w:rPr>
                <w:rFonts w:ascii="Arial" w:hAnsi="Arial"/>
                <w:color w:val="222222"/>
                <w:spacing w:val="40"/>
                <w:szCs w:val="24"/>
              </w:rPr>
              <w:t>尚未审结</w:t>
            </w:r>
          </w:p>
        </w:tc>
        <w:tc>
          <w:tcPr>
            <w:tcW w:w="660" w:type="dxa"/>
            <w:vMerge w:val="restart"/>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C84BE4">
            <w:pPr>
              <w:pStyle w:val="a4"/>
              <w:ind w:left="113" w:right="113"/>
              <w:jc w:val="center"/>
              <w:rPr>
                <w:rFonts w:ascii="Arial" w:hAnsi="Arial"/>
                <w:color w:val="222222"/>
                <w:spacing w:val="40"/>
                <w:szCs w:val="24"/>
              </w:rPr>
            </w:pPr>
            <w:r w:rsidRPr="001827B3">
              <w:rPr>
                <w:rFonts w:ascii="Arial" w:hAnsi="Arial"/>
                <w:color w:val="222222"/>
                <w:spacing w:val="40"/>
                <w:szCs w:val="24"/>
              </w:rPr>
              <w:t>总计</w:t>
            </w:r>
          </w:p>
        </w:tc>
        <w:tc>
          <w:tcPr>
            <w:tcW w:w="2970" w:type="dxa"/>
            <w:gridSpan w:val="5"/>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未经复议直接起诉</w:t>
            </w:r>
          </w:p>
        </w:tc>
        <w:tc>
          <w:tcPr>
            <w:tcW w:w="3030" w:type="dxa"/>
            <w:gridSpan w:val="5"/>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复议后起诉</w:t>
            </w:r>
          </w:p>
        </w:tc>
      </w:tr>
      <w:tr w:rsidR="00131830" w:rsidTr="00452081">
        <w:trPr>
          <w:cantSplit/>
          <w:trHeight w:val="1674"/>
          <w:jc w:val="center"/>
        </w:trPr>
        <w:tc>
          <w:tcPr>
            <w:tcW w:w="600" w:type="dxa"/>
            <w:vMerge/>
            <w:tcBorders>
              <w:left w:val="single" w:sz="6" w:space="0" w:color="auto"/>
              <w:bottom w:val="single" w:sz="6" w:space="0" w:color="auto"/>
              <w:right w:val="single" w:sz="6" w:space="0" w:color="auto"/>
              <w:tl2br w:val="nil"/>
              <w:tr2bl w:val="nil"/>
            </w:tcBorders>
            <w:shd w:val="clear" w:color="auto" w:fill="auto"/>
            <w:vAlign w:val="center"/>
          </w:tcPr>
          <w:p w:rsidR="00131830" w:rsidRPr="00452081" w:rsidRDefault="00131830">
            <w:pPr>
              <w:rPr>
                <w:sz w:val="24"/>
                <w:szCs w:val="24"/>
              </w:rPr>
            </w:pPr>
          </w:p>
        </w:tc>
        <w:tc>
          <w:tcPr>
            <w:tcW w:w="600" w:type="dxa"/>
            <w:vMerge/>
            <w:tcBorders>
              <w:bottom w:val="single" w:sz="6" w:space="0" w:color="auto"/>
              <w:right w:val="single" w:sz="6" w:space="0" w:color="auto"/>
              <w:tl2br w:val="nil"/>
              <w:tr2bl w:val="nil"/>
            </w:tcBorders>
            <w:shd w:val="clear" w:color="auto" w:fill="auto"/>
            <w:vAlign w:val="center"/>
          </w:tcPr>
          <w:p w:rsidR="00131830" w:rsidRPr="00452081" w:rsidRDefault="00131830">
            <w:pPr>
              <w:rPr>
                <w:sz w:val="24"/>
                <w:szCs w:val="24"/>
              </w:rPr>
            </w:pPr>
          </w:p>
        </w:tc>
        <w:tc>
          <w:tcPr>
            <w:tcW w:w="600" w:type="dxa"/>
            <w:vMerge/>
            <w:tcBorders>
              <w:bottom w:val="single" w:sz="6" w:space="0" w:color="auto"/>
              <w:right w:val="single" w:sz="6" w:space="0" w:color="auto"/>
              <w:tl2br w:val="nil"/>
              <w:tr2bl w:val="nil"/>
            </w:tcBorders>
            <w:shd w:val="clear" w:color="auto" w:fill="auto"/>
            <w:vAlign w:val="center"/>
          </w:tcPr>
          <w:p w:rsidR="00131830" w:rsidRPr="00452081" w:rsidRDefault="00131830">
            <w:pPr>
              <w:rPr>
                <w:sz w:val="24"/>
                <w:szCs w:val="24"/>
              </w:rPr>
            </w:pPr>
          </w:p>
        </w:tc>
        <w:tc>
          <w:tcPr>
            <w:tcW w:w="600" w:type="dxa"/>
            <w:vMerge/>
            <w:tcBorders>
              <w:bottom w:val="single" w:sz="6" w:space="0" w:color="auto"/>
              <w:right w:val="single" w:sz="6" w:space="0" w:color="auto"/>
              <w:tl2br w:val="nil"/>
              <w:tr2bl w:val="nil"/>
            </w:tcBorders>
            <w:shd w:val="clear" w:color="auto" w:fill="auto"/>
            <w:vAlign w:val="center"/>
          </w:tcPr>
          <w:p w:rsidR="00131830" w:rsidRPr="00452081" w:rsidRDefault="00131830">
            <w:pPr>
              <w:rPr>
                <w:sz w:val="24"/>
                <w:szCs w:val="24"/>
              </w:rPr>
            </w:pPr>
          </w:p>
        </w:tc>
        <w:tc>
          <w:tcPr>
            <w:tcW w:w="675" w:type="dxa"/>
            <w:vMerge/>
            <w:tcBorders>
              <w:bottom w:val="single" w:sz="6" w:space="0" w:color="auto"/>
              <w:right w:val="single" w:sz="6" w:space="0" w:color="auto"/>
              <w:tl2br w:val="nil"/>
              <w:tr2bl w:val="nil"/>
            </w:tcBorders>
            <w:shd w:val="clear" w:color="auto" w:fill="auto"/>
            <w:vAlign w:val="center"/>
          </w:tcPr>
          <w:p w:rsidR="00131830" w:rsidRPr="00452081" w:rsidRDefault="00131830">
            <w:pPr>
              <w:rPr>
                <w:sz w:val="24"/>
                <w:szCs w:val="24"/>
              </w:rPr>
            </w:pPr>
          </w:p>
        </w:tc>
        <w:tc>
          <w:tcPr>
            <w:tcW w:w="555"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结果维持</w:t>
            </w:r>
          </w:p>
        </w:tc>
        <w:tc>
          <w:tcPr>
            <w:tcW w:w="600"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结果纠正</w:t>
            </w:r>
          </w:p>
        </w:tc>
        <w:tc>
          <w:tcPr>
            <w:tcW w:w="600"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其他结果</w:t>
            </w:r>
          </w:p>
        </w:tc>
        <w:tc>
          <w:tcPr>
            <w:tcW w:w="600"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尚未审结</w:t>
            </w:r>
          </w:p>
        </w:tc>
        <w:tc>
          <w:tcPr>
            <w:tcW w:w="600"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总计</w:t>
            </w:r>
          </w:p>
        </w:tc>
        <w:tc>
          <w:tcPr>
            <w:tcW w:w="600"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结果维持</w:t>
            </w:r>
          </w:p>
        </w:tc>
        <w:tc>
          <w:tcPr>
            <w:tcW w:w="600"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结果纠正</w:t>
            </w:r>
          </w:p>
        </w:tc>
        <w:tc>
          <w:tcPr>
            <w:tcW w:w="600"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其他结果</w:t>
            </w:r>
          </w:p>
        </w:tc>
        <w:tc>
          <w:tcPr>
            <w:tcW w:w="600"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尚未审结</w:t>
            </w:r>
          </w:p>
        </w:tc>
        <w:tc>
          <w:tcPr>
            <w:tcW w:w="600" w:type="dxa"/>
            <w:tcBorders>
              <w:bottom w:val="single" w:sz="6" w:space="0" w:color="auto"/>
              <w:right w:val="single" w:sz="6" w:space="0" w:color="auto"/>
              <w:tl2br w:val="nil"/>
              <w:tr2bl w:val="nil"/>
            </w:tcBorders>
            <w:shd w:val="clear" w:color="auto" w:fill="auto"/>
            <w:textDirection w:val="tbRlV"/>
            <w:vAlign w:val="center"/>
          </w:tcPr>
          <w:p w:rsidR="00131830" w:rsidRPr="001827B3" w:rsidRDefault="003D0B21" w:rsidP="00452081">
            <w:pPr>
              <w:pStyle w:val="a4"/>
              <w:ind w:left="113" w:right="113"/>
              <w:jc w:val="center"/>
              <w:rPr>
                <w:rFonts w:ascii="Arial" w:hAnsi="Arial"/>
                <w:color w:val="222222"/>
                <w:spacing w:val="40"/>
                <w:szCs w:val="24"/>
              </w:rPr>
            </w:pPr>
            <w:r w:rsidRPr="001827B3">
              <w:rPr>
                <w:rFonts w:ascii="Arial" w:hAnsi="Arial"/>
                <w:color w:val="222222"/>
                <w:spacing w:val="40"/>
                <w:szCs w:val="24"/>
              </w:rPr>
              <w:t>总计</w:t>
            </w:r>
          </w:p>
        </w:tc>
      </w:tr>
      <w:tr w:rsidR="00131830">
        <w:trPr>
          <w:trHeight w:val="554"/>
          <w:jc w:val="center"/>
        </w:trPr>
        <w:tc>
          <w:tcPr>
            <w:tcW w:w="600" w:type="dxa"/>
            <w:tcBorders>
              <w:left w:val="single" w:sz="6" w:space="0" w:color="auto"/>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1</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1</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6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2</w:t>
            </w:r>
          </w:p>
        </w:tc>
        <w:tc>
          <w:tcPr>
            <w:tcW w:w="555"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c>
          <w:tcPr>
            <w:tcW w:w="600" w:type="dxa"/>
            <w:tcBorders>
              <w:bottom w:val="single" w:sz="6" w:space="0" w:color="auto"/>
              <w:right w:val="single" w:sz="6" w:space="0" w:color="auto"/>
              <w:tl2br w:val="nil"/>
              <w:tr2bl w:val="nil"/>
            </w:tcBorders>
            <w:shd w:val="clear" w:color="auto" w:fill="auto"/>
            <w:vAlign w:val="center"/>
          </w:tcPr>
          <w:p w:rsidR="00131830" w:rsidRPr="00452081" w:rsidRDefault="003D0B21">
            <w:pPr>
              <w:pStyle w:val="a4"/>
              <w:jc w:val="center"/>
              <w:rPr>
                <w:rFonts w:ascii="Arial" w:hAnsi="Arial"/>
                <w:color w:val="222222"/>
                <w:szCs w:val="24"/>
              </w:rPr>
            </w:pPr>
            <w:r w:rsidRPr="00452081">
              <w:rPr>
                <w:rFonts w:ascii="Arial" w:hAnsi="Arial"/>
                <w:color w:val="222222"/>
                <w:szCs w:val="24"/>
              </w:rPr>
              <w:t>0</w:t>
            </w:r>
          </w:p>
        </w:tc>
      </w:tr>
    </w:tbl>
    <w:p w:rsidR="00452081" w:rsidRDefault="003D0B21">
      <w:pPr>
        <w:widowControl/>
        <w:jc w:val="left"/>
        <w:rPr>
          <w:rFonts w:ascii="Arial" w:hAnsi="Arial"/>
          <w:color w:val="222222"/>
          <w:kern w:val="0"/>
          <w:szCs w:val="21"/>
        </w:rPr>
      </w:pPr>
      <w:r>
        <w:rPr>
          <w:rFonts w:ascii="Arial" w:hAnsi="Arial"/>
          <w:color w:val="222222"/>
          <w:szCs w:val="21"/>
        </w:rPr>
        <w:t xml:space="preserve">　　</w:t>
      </w:r>
      <w:r w:rsidR="00452081">
        <w:rPr>
          <w:rFonts w:ascii="Arial" w:hAnsi="Arial"/>
          <w:color w:val="222222"/>
        </w:rPr>
        <w:br w:type="page"/>
      </w:r>
    </w:p>
    <w:p w:rsidR="00131830" w:rsidRDefault="003D0B21" w:rsidP="00452081">
      <w:pPr>
        <w:pStyle w:val="a4"/>
        <w:rPr>
          <w:rFonts w:ascii="Arial" w:hAnsi="Arial"/>
          <w:color w:val="222222"/>
          <w:sz w:val="21"/>
        </w:rPr>
      </w:pPr>
      <w:r>
        <w:rPr>
          <w:rFonts w:ascii="方正黑体_GBK" w:eastAsia="方正黑体_GBK" w:cs="楷体_GB2312" w:hint="eastAsia"/>
          <w:bCs/>
          <w:sz w:val="32"/>
          <w:szCs w:val="32"/>
          <w:shd w:val="clear" w:color="auto" w:fill="FFFFFF"/>
        </w:rPr>
        <w:lastRenderedPageBreak/>
        <w:t>五、存在的主要问题及改进情况</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Times New Roman" w:eastAsia="方正仿宋_GBK"/>
          <w:sz w:val="32"/>
          <w:szCs w:val="32"/>
        </w:rPr>
        <w:t>2019</w:t>
      </w:r>
      <w:r>
        <w:rPr>
          <w:rFonts w:ascii="Times New Roman" w:eastAsia="方正仿宋_GBK"/>
          <w:sz w:val="32"/>
          <w:szCs w:val="32"/>
        </w:rPr>
        <w:t>年，宁波海关政府信息公开工作虽然取得了一定成效，但对照新形势下政府信息公开工作的新任务，特别是新修订《条例》的新要求和人民群众的期盼，仍存在一定差距，主要表现在：对政府信息公开工作的认识有待提高，重点领域信息公开有待加强，平台建设有待完善。</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Times New Roman" w:eastAsia="方正仿宋_GBK"/>
          <w:sz w:val="32"/>
          <w:szCs w:val="32"/>
        </w:rPr>
        <w:t>2020</w:t>
      </w:r>
      <w:r>
        <w:rPr>
          <w:rFonts w:ascii="Times New Roman" w:eastAsia="方正仿宋_GBK"/>
          <w:sz w:val="32"/>
          <w:szCs w:val="32"/>
        </w:rPr>
        <w:t>年，宁波海关将以习近平新时代中国特色社会主义思想和党的十九大、十九届二中、三中、四中全会精神为指引，深入贯彻落实党中央、国务院关于政府信息公开的决策部署，以及海关总署、地方党委政府相关工作要求，继续将政府信息公开作为推进依法行政、建设法治政府的重要抓手，切实提高政务服务水平和群众满意度。着重抓好以下三个方面：</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方正楷体_GBK" w:eastAsia="方正楷体_GBK" w:hint="eastAsia"/>
          <w:b/>
          <w:bCs/>
          <w:spacing w:val="-4"/>
          <w:kern w:val="2"/>
          <w:sz w:val="32"/>
          <w:szCs w:val="20"/>
        </w:rPr>
        <w:t>（一）加强新修订《条例》贯彻落实。</w:t>
      </w:r>
      <w:r>
        <w:rPr>
          <w:rFonts w:ascii="Times New Roman" w:eastAsia="方正仿宋_GBK"/>
          <w:sz w:val="32"/>
          <w:szCs w:val="32"/>
        </w:rPr>
        <w:t>进一步提高认识，加强新修订《条例》宣贯学习，组织开展多层次、多形式的集中培训，提升政府信息公开工作人员运用新条例的能力。进一步转变理念，坚持公开为常态、不公开为例外，加快海关政府信息公开工作相关制度的修订和落实，提升宁波海关政府信息公开工作整体管理水平。</w:t>
      </w:r>
    </w:p>
    <w:p w:rsidR="00131830" w:rsidRDefault="003D0B21">
      <w:pPr>
        <w:pStyle w:val="a4"/>
        <w:rPr>
          <w:rFonts w:ascii="Times New Roman" w:eastAsia="方正仿宋_GBK"/>
          <w:sz w:val="32"/>
          <w:szCs w:val="32"/>
        </w:rPr>
      </w:pPr>
      <w:r>
        <w:rPr>
          <w:rFonts w:ascii="Times New Roman" w:eastAsia="方正仿宋_GBK"/>
          <w:sz w:val="32"/>
          <w:szCs w:val="32"/>
        </w:rPr>
        <w:lastRenderedPageBreak/>
        <w:t xml:space="preserve">　</w:t>
      </w:r>
      <w:r>
        <w:rPr>
          <w:rFonts w:ascii="方正楷体_GBK" w:eastAsia="方正楷体_GBK" w:hint="eastAsia"/>
          <w:b/>
          <w:bCs/>
          <w:spacing w:val="-4"/>
          <w:kern w:val="2"/>
          <w:sz w:val="32"/>
          <w:szCs w:val="20"/>
        </w:rPr>
        <w:t xml:space="preserve">　（二）进一步加强公开平台建设。</w:t>
      </w:r>
      <w:r>
        <w:rPr>
          <w:rFonts w:ascii="Times New Roman" w:eastAsia="方正仿宋_GBK"/>
          <w:sz w:val="32"/>
          <w:szCs w:val="32"/>
        </w:rPr>
        <w:t>充分发挥政府网站第一平台作用，不断加强门户网站建设，进一步发挥海关门户网站在建设民主、法制、责任、高效政府过程中的作用，全面提升宁波海关门户网站服务能力。持续加强宁波海关官方政务微博、微信公众号等新媒体平台建设，不断拓展政</w:t>
      </w:r>
      <w:r>
        <w:rPr>
          <w:rFonts w:ascii="Times New Roman" w:eastAsia="方正仿宋_GBK"/>
          <w:sz w:val="32"/>
          <w:szCs w:val="32"/>
        </w:rPr>
        <w:t>府信息公开渠道。</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方正楷体_GBK" w:eastAsia="方正楷体_GBK" w:hint="eastAsia"/>
          <w:b/>
          <w:bCs/>
          <w:spacing w:val="-4"/>
          <w:kern w:val="2"/>
          <w:sz w:val="32"/>
          <w:szCs w:val="20"/>
        </w:rPr>
        <w:t xml:space="preserve">　（三）进一步深化重点领域信息公开。</w:t>
      </w:r>
      <w:r>
        <w:rPr>
          <w:rFonts w:ascii="Times New Roman" w:eastAsia="方正仿宋_GBK"/>
          <w:sz w:val="32"/>
          <w:szCs w:val="32"/>
        </w:rPr>
        <w:t>围绕优化口岸营商环境、通关一体化、跨境电商业态监管、进出口食品安全等公众关注度较高的热点话题，进一步做好政府信息主动公开。围绕</w:t>
      </w:r>
      <w:r>
        <w:rPr>
          <w:rFonts w:ascii="Times New Roman" w:eastAsia="方正仿宋_GBK"/>
          <w:sz w:val="32"/>
          <w:szCs w:val="32"/>
        </w:rPr>
        <w:t>“</w:t>
      </w:r>
      <w:r>
        <w:rPr>
          <w:rFonts w:ascii="Times New Roman" w:eastAsia="方正仿宋_GBK"/>
          <w:sz w:val="32"/>
          <w:szCs w:val="32"/>
        </w:rPr>
        <w:t>放管服</w:t>
      </w:r>
      <w:r>
        <w:rPr>
          <w:rFonts w:ascii="Times New Roman" w:eastAsia="方正仿宋_GBK"/>
          <w:sz w:val="32"/>
          <w:szCs w:val="32"/>
        </w:rPr>
        <w:t>”</w:t>
      </w:r>
      <w:r>
        <w:rPr>
          <w:rFonts w:ascii="Times New Roman" w:eastAsia="方正仿宋_GBK"/>
          <w:sz w:val="32"/>
          <w:szCs w:val="32"/>
        </w:rPr>
        <w:t>改革、浙江省</w:t>
      </w:r>
      <w:r>
        <w:rPr>
          <w:rFonts w:ascii="Times New Roman" w:eastAsia="方正仿宋_GBK"/>
          <w:sz w:val="32"/>
          <w:szCs w:val="32"/>
        </w:rPr>
        <w:t>“</w:t>
      </w:r>
      <w:r>
        <w:rPr>
          <w:rFonts w:ascii="Times New Roman" w:eastAsia="方正仿宋_GBK"/>
          <w:sz w:val="32"/>
          <w:szCs w:val="32"/>
        </w:rPr>
        <w:t>最多跑一次</w:t>
      </w:r>
      <w:r>
        <w:rPr>
          <w:rFonts w:ascii="Times New Roman" w:eastAsia="方正仿宋_GBK"/>
          <w:sz w:val="32"/>
          <w:szCs w:val="32"/>
        </w:rPr>
        <w:t>”</w:t>
      </w:r>
      <w:r>
        <w:rPr>
          <w:rFonts w:ascii="Times New Roman" w:eastAsia="方正仿宋_GBK"/>
          <w:sz w:val="32"/>
          <w:szCs w:val="32"/>
        </w:rPr>
        <w:t>改革，进一步做好海关实施减税降费、巩固压缩通关时间成效、精简行政许可、</w:t>
      </w:r>
      <w:r>
        <w:rPr>
          <w:rFonts w:ascii="Times New Roman" w:eastAsia="方正仿宋_GBK"/>
          <w:sz w:val="32"/>
          <w:szCs w:val="32"/>
        </w:rPr>
        <w:t>“</w:t>
      </w:r>
      <w:r>
        <w:rPr>
          <w:rFonts w:ascii="Times New Roman" w:eastAsia="方正仿宋_GBK"/>
          <w:sz w:val="32"/>
          <w:szCs w:val="32"/>
        </w:rPr>
        <w:t>双随机、一公开</w:t>
      </w:r>
      <w:r>
        <w:rPr>
          <w:rFonts w:ascii="Times New Roman" w:eastAsia="方正仿宋_GBK"/>
          <w:sz w:val="32"/>
          <w:szCs w:val="32"/>
        </w:rPr>
        <w:t>”</w:t>
      </w:r>
      <w:r>
        <w:rPr>
          <w:rFonts w:ascii="Times New Roman" w:eastAsia="方正仿宋_GBK"/>
          <w:sz w:val="32"/>
          <w:szCs w:val="32"/>
        </w:rPr>
        <w:t>等方面的信息公开。持续加强海关财政信息、行政执法信息、海关统计服务信息等方面的信息主动公开。</w:t>
      </w:r>
    </w:p>
    <w:p w:rsidR="00131830" w:rsidRDefault="003D0B21">
      <w:pPr>
        <w:pStyle w:val="a4"/>
        <w:rPr>
          <w:rFonts w:ascii="Times New Roman" w:eastAsia="方正仿宋_GBK"/>
          <w:sz w:val="32"/>
          <w:szCs w:val="32"/>
        </w:rPr>
      </w:pPr>
      <w:r>
        <w:rPr>
          <w:rFonts w:ascii="Times New Roman" w:eastAsia="方正仿宋_GBK"/>
          <w:sz w:val="32"/>
          <w:szCs w:val="32"/>
        </w:rPr>
        <w:t xml:space="preserve">　　</w:t>
      </w:r>
      <w:r>
        <w:rPr>
          <w:rFonts w:ascii="方正黑体_GBK" w:eastAsia="方正黑体_GBK" w:cs="楷体_GB2312" w:hint="eastAsia"/>
          <w:bCs/>
          <w:sz w:val="32"/>
          <w:szCs w:val="32"/>
          <w:shd w:val="clear" w:color="auto" w:fill="FFFFFF"/>
        </w:rPr>
        <w:t>六、其他需要报告的事项</w:t>
      </w:r>
    </w:p>
    <w:p w:rsidR="00131830" w:rsidRDefault="003D0B21">
      <w:pPr>
        <w:pStyle w:val="a4"/>
        <w:rPr>
          <w:rFonts w:ascii="Times New Roman" w:eastAsia="方正仿宋_GBK"/>
          <w:sz w:val="32"/>
          <w:szCs w:val="32"/>
        </w:rPr>
      </w:pPr>
      <w:r>
        <w:rPr>
          <w:rFonts w:ascii="Times New Roman" w:eastAsia="方正仿宋_GBK"/>
          <w:sz w:val="32"/>
          <w:szCs w:val="32"/>
        </w:rPr>
        <w:t xml:space="preserve">　　本年度无其他需要报告的事项。</w:t>
      </w:r>
    </w:p>
    <w:sectPr w:rsidR="00131830" w:rsidSect="00131830">
      <w:footerReference w:type="default" r:id="rId7"/>
      <w:pgSz w:w="11907" w:h="16840"/>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B21" w:rsidRDefault="003D0B21" w:rsidP="00446050">
      <w:r>
        <w:separator/>
      </w:r>
    </w:p>
  </w:endnote>
  <w:endnote w:type="continuationSeparator" w:id="1">
    <w:p w:rsidR="003D0B21" w:rsidRDefault="003D0B21" w:rsidP="004460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Lucida Sans">
    <w:altName w:val="Adobe Gothic Std B"/>
    <w:charset w:val="00"/>
    <w:family w:val="auto"/>
    <w:pitch w:val="variable"/>
    <w:sig w:usb0="00000003" w:usb1="00000000" w:usb2="00000000" w:usb3="00000000" w:csb0="2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楷体_GB2312">
    <w:altName w:val="方正楷体_GBK"/>
    <w:charset w:val="00"/>
    <w:family w:val="auto"/>
    <w:pitch w:val="variable"/>
    <w:sig w:usb0="00000000" w:usb1="00000000" w:usb2="00000000" w:usb3="00000000" w:csb0="0000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0562814"/>
      <w:docPartObj>
        <w:docPartGallery w:val="Page Numbers (Bottom of Page)"/>
        <w:docPartUnique/>
      </w:docPartObj>
    </w:sdtPr>
    <w:sdtContent>
      <w:p w:rsidR="002619BD" w:rsidRDefault="002619BD">
        <w:pPr>
          <w:pStyle w:val="a7"/>
          <w:jc w:val="center"/>
        </w:pPr>
        <w:fldSimple w:instr=" PAGE   \* MERGEFORMAT ">
          <w:r w:rsidR="00CC3C6F" w:rsidRPr="00CC3C6F">
            <w:rPr>
              <w:noProof/>
              <w:lang w:val="zh-CN"/>
            </w:rPr>
            <w:t>5</w:t>
          </w:r>
        </w:fldSimple>
      </w:p>
    </w:sdtContent>
  </w:sdt>
  <w:p w:rsidR="002619BD" w:rsidRDefault="002619B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B21" w:rsidRDefault="003D0B21" w:rsidP="00446050">
      <w:r>
        <w:separator/>
      </w:r>
    </w:p>
  </w:footnote>
  <w:footnote w:type="continuationSeparator" w:id="1">
    <w:p w:rsidR="003D0B21" w:rsidRDefault="003D0B21" w:rsidP="004460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noPunctuationKerning/>
  <w:characterSpacingControl w:val="doNotCompress"/>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131830"/>
    <w:rsid w:val="000822F7"/>
    <w:rsid w:val="00086D42"/>
    <w:rsid w:val="00131830"/>
    <w:rsid w:val="001827B3"/>
    <w:rsid w:val="002619BD"/>
    <w:rsid w:val="003D0B21"/>
    <w:rsid w:val="003D3418"/>
    <w:rsid w:val="00446050"/>
    <w:rsid w:val="00452081"/>
    <w:rsid w:val="00C84BE4"/>
    <w:rsid w:val="00CC3C6F"/>
    <w:rsid w:val="00D018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Lucida Sans"/>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1830"/>
    <w:pPr>
      <w:widowControl w:val="0"/>
      <w:jc w:val="both"/>
    </w:pPr>
    <w:rPr>
      <w:rFonts w:ascii="Calibri" w:hAnsi="Calibri" w:cs="Arial"/>
      <w:kern w:val="2"/>
      <w:sz w:val="21"/>
      <w:szCs w:val="22"/>
    </w:rPr>
  </w:style>
  <w:style w:type="paragraph" w:styleId="1">
    <w:name w:val="heading 1"/>
    <w:basedOn w:val="a"/>
    <w:next w:val="a"/>
    <w:rsid w:val="00131830"/>
    <w:pPr>
      <w:keepNext/>
      <w:keepLines/>
      <w:spacing w:before="340" w:after="330" w:line="578" w:lineRule="auto"/>
      <w:outlineLvl w:val="0"/>
    </w:pPr>
    <w:rPr>
      <w:b/>
      <w:bCs/>
      <w:kern w:val="44"/>
      <w:sz w:val="44"/>
      <w:szCs w:val="44"/>
    </w:rPr>
  </w:style>
  <w:style w:type="paragraph" w:styleId="2">
    <w:name w:val="heading 2"/>
    <w:basedOn w:val="a"/>
    <w:next w:val="a"/>
    <w:rsid w:val="0013183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a"/>
    <w:next w:val="a"/>
    <w:rsid w:val="0013183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autoRedefine/>
    <w:rsid w:val="00131830"/>
    <w:pPr>
      <w:ind w:left="1680"/>
    </w:pPr>
  </w:style>
  <w:style w:type="paragraph" w:styleId="a3">
    <w:name w:val="table of authorities"/>
    <w:basedOn w:val="a"/>
    <w:next w:val="a"/>
    <w:rsid w:val="00131830"/>
    <w:pPr>
      <w:ind w:left="420"/>
    </w:pPr>
  </w:style>
  <w:style w:type="paragraph" w:styleId="a4">
    <w:name w:val="Normal (Web)"/>
    <w:basedOn w:val="a"/>
    <w:next w:val="5"/>
    <w:rsid w:val="00131830"/>
    <w:pPr>
      <w:widowControl/>
      <w:spacing w:before="100" w:beforeAutospacing="1" w:after="100" w:afterAutospacing="1"/>
      <w:jc w:val="left"/>
    </w:pPr>
    <w:rPr>
      <w:rFonts w:ascii="宋体" w:hAnsi="Times New Roman"/>
      <w:kern w:val="0"/>
      <w:sz w:val="24"/>
      <w:szCs w:val="21"/>
    </w:rPr>
  </w:style>
  <w:style w:type="paragraph" w:customStyle="1" w:styleId="a5">
    <w:name w:val="样式 小四"/>
    <w:rsid w:val="00131830"/>
    <w:pPr>
      <w:widowControl w:val="0"/>
    </w:pPr>
    <w:rPr>
      <w:rFonts w:ascii="宋体"/>
      <w:kern w:val="2"/>
      <w:sz w:val="24"/>
      <w:szCs w:val="21"/>
    </w:rPr>
  </w:style>
  <w:style w:type="paragraph" w:styleId="a6">
    <w:name w:val="header"/>
    <w:basedOn w:val="a"/>
    <w:link w:val="Char"/>
    <w:uiPriority w:val="99"/>
    <w:semiHidden/>
    <w:unhideWhenUsed/>
    <w:rsid w:val="004460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446050"/>
    <w:rPr>
      <w:rFonts w:ascii="Calibri" w:hAnsi="Calibri" w:cs="Arial"/>
      <w:kern w:val="2"/>
      <w:sz w:val="18"/>
      <w:szCs w:val="18"/>
    </w:rPr>
  </w:style>
  <w:style w:type="paragraph" w:styleId="a7">
    <w:name w:val="footer"/>
    <w:basedOn w:val="a"/>
    <w:link w:val="Char0"/>
    <w:uiPriority w:val="99"/>
    <w:unhideWhenUsed/>
    <w:rsid w:val="00446050"/>
    <w:pPr>
      <w:tabs>
        <w:tab w:val="center" w:pos="4153"/>
        <w:tab w:val="right" w:pos="8306"/>
      </w:tabs>
      <w:snapToGrid w:val="0"/>
      <w:jc w:val="left"/>
    </w:pPr>
    <w:rPr>
      <w:sz w:val="18"/>
      <w:szCs w:val="18"/>
    </w:rPr>
  </w:style>
  <w:style w:type="character" w:customStyle="1" w:styleId="Char0">
    <w:name w:val="页脚 Char"/>
    <w:basedOn w:val="a0"/>
    <w:link w:val="a7"/>
    <w:uiPriority w:val="99"/>
    <w:rsid w:val="00446050"/>
    <w:rPr>
      <w:rFonts w:ascii="Calibri" w:hAnsi="Calibri" w:cs="Arial"/>
      <w:kern w:val="2"/>
      <w:sz w:val="18"/>
      <w:szCs w:val="18"/>
    </w:rPr>
  </w:style>
  <w:style w:type="paragraph" w:customStyle="1" w:styleId="a8">
    <w:name w:val="样式 小三"/>
    <w:next w:val="20"/>
    <w:rsid w:val="00446050"/>
    <w:pPr>
      <w:widowControl w:val="0"/>
      <w:jc w:val="both"/>
    </w:pPr>
    <w:rPr>
      <w:rFonts w:cs="Times New Roman"/>
      <w:kern w:val="2"/>
      <w:sz w:val="30"/>
      <w:szCs w:val="30"/>
    </w:rPr>
  </w:style>
  <w:style w:type="paragraph" w:styleId="20">
    <w:name w:val="toc 2"/>
    <w:basedOn w:val="a"/>
    <w:next w:val="a"/>
    <w:autoRedefine/>
    <w:uiPriority w:val="39"/>
    <w:semiHidden/>
    <w:unhideWhenUsed/>
    <w:rsid w:val="00446050"/>
    <w:pPr>
      <w:ind w:leftChars="200" w:left="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CC470076-1ABE-4B45-9985-05854074C723}">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661</Words>
  <Characters>3774</Characters>
  <Application>Microsoft Office Word</Application>
  <DocSecurity>0</DocSecurity>
  <Lines>31</Lines>
  <Paragraphs>8</Paragraphs>
  <ScaleCrop>false</ScaleCrop>
  <Company>Yozosoft</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User274</dc:creator>
  <cp:lastModifiedBy>meihao</cp:lastModifiedBy>
  <cp:revision>10</cp:revision>
  <dcterms:created xsi:type="dcterms:W3CDTF">2021-05-08T07:28:00Z</dcterms:created>
  <dcterms:modified xsi:type="dcterms:W3CDTF">2023-09-27T00:58:00Z</dcterms:modified>
</cp:coreProperties>
</file>