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宋体"/>
          <w:b/>
          <w:sz w:val="84"/>
          <w:szCs w:val="84"/>
        </w:rPr>
      </w:pPr>
      <w:r>
        <w:rPr>
          <w:rFonts w:ascii="宋体" w:hint="eastAsia"/>
          <w:b/>
          <w:sz w:val="84"/>
          <w:szCs w:val="84"/>
        </w:rPr>
        <w:t>审价作业无纸化</w:t>
      </w:r>
    </w:p>
    <w:p>
      <w:pPr>
        <w:jc w:val="center"/>
        <w:rPr>
          <w:rFonts w:ascii="宋体"/>
          <w:b/>
          <w:sz w:val="84"/>
          <w:szCs w:val="84"/>
        </w:rPr>
      </w:pPr>
      <w:r>
        <w:rPr>
          <w:rFonts w:ascii="宋体" w:hint="eastAsia"/>
          <w:b/>
          <w:sz w:val="84"/>
          <w:szCs w:val="84"/>
        </w:rPr>
        <w:t>操作手册</w:t>
      </w:r>
    </w:p>
    <w:p>
      <w:pPr>
        <w:jc w:val="center"/>
        <w:rPr>
          <w:rFonts w:ascii="宋体"/>
          <w:i/>
          <w:sz w:val="72"/>
          <w:szCs w:val="72"/>
        </w:rPr>
      </w:pPr>
      <w:r>
        <w:rPr>
          <w:rFonts w:ascii="宋体" w:hint="eastAsia"/>
          <w:b/>
          <w:sz w:val="84"/>
          <w:szCs w:val="84"/>
        </w:rPr>
        <w:t>（企业端）</w:t>
      </w: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jc w:val="center"/>
        <w:rPr>
          <w:rFonts w:ascii="宋体"/>
          <w:i/>
          <w:sz w:val="72"/>
          <w:szCs w:val="72"/>
        </w:rPr>
      </w:pPr>
    </w:p>
    <w:p>
      <w:pPr>
        <w:spacing w:line="360" w:lineRule="auto"/>
        <w:ind w:firstLineChars="200" w:firstLine="560"/>
        <w:jc w:val="left"/>
        <w:rPr>
          <w:rFonts w:ascii="宋体"/>
          <w:b/>
          <w:szCs w:val="21"/>
        </w:rPr>
      </w:pPr>
      <w:r>
        <w:rPr>
          <w:rFonts w:ascii="宋体"/>
          <w:sz w:val="28"/>
          <w:szCs w:val="28"/>
        </w:rPr>
        <w:br w:type="page"/>
      </w:r>
      <w:r>
        <w:rPr>
          <w:rFonts w:ascii="宋体" w:hint="eastAsia"/>
          <w:b/>
          <w:szCs w:val="21"/>
        </w:rPr>
        <w:t>一、系统登录</w:t>
      </w:r>
    </w:p>
    <w:p>
      <w:pPr>
        <w:spacing w:line="360" w:lineRule="exact"/>
        <w:ind w:firstLineChars="200" w:firstLine="420"/>
        <w:rPr>
          <w:rFonts w:ascii="宋体"/>
          <w:szCs w:val="21"/>
        </w:rPr>
      </w:pPr>
      <w:r>
        <w:rPr>
          <w:rFonts w:ascii="宋体" w:hint="eastAsia"/>
          <w:szCs w:val="21"/>
        </w:rPr>
        <w:t>企业电脑连接好读卡器并插入企业IC卡后，登陆中国电子口岸。注意：</w:t>
      </w:r>
    </w:p>
    <w:p>
      <w:pPr>
        <w:spacing w:line="360" w:lineRule="exact"/>
        <w:ind w:firstLineChars="200" w:firstLine="420"/>
        <w:rPr>
          <w:rFonts w:ascii="宋体"/>
          <w:szCs w:val="21"/>
        </w:rPr>
      </w:pPr>
      <w:r>
        <w:rPr>
          <w:rFonts w:ascii="宋体" w:hint="eastAsia"/>
          <w:szCs w:val="21"/>
        </w:rPr>
        <w:t>（一）IE浏览器不能为IE10，浏览器需设置为兼容模式。</w:t>
      </w:r>
    </w:p>
    <w:p>
      <w:pPr>
        <w:spacing w:line="360" w:lineRule="exact"/>
        <w:ind w:firstLineChars="200" w:firstLine="420"/>
        <w:rPr>
          <w:rFonts w:ascii="宋体"/>
          <w:szCs w:val="21"/>
        </w:rPr>
      </w:pPr>
      <w:r>
        <w:rPr>
          <w:rFonts w:ascii="宋体" w:hint="eastAsia"/>
          <w:szCs w:val="21"/>
        </w:rPr>
        <w:t>（二）需将电子口岸网站设置为信任站点，并确保在安全设置中ActiveX控件和插件的设置均为启用。</w:t>
      </w:r>
    </w:p>
    <w:p>
      <w:pPr>
        <w:jc w:val="center"/>
      </w:pPr>
      <w:r>
        <w:drawing>
          <wp:inline distT="0" distB="0" distL="0" distR="0">
            <wp:extent cx="5264785" cy="3747769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4785" cy="374776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1770" cy="3426460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rcRect b="116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342646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Chars="200" w:firstLine="420"/>
      </w:pPr>
      <w:r>
        <w:rPr>
          <w:rFonts w:hint="eastAsia"/>
        </w:rPr>
        <w:t>点击进入海关事务联系系统。</w:t>
      </w:r>
    </w:p>
    <w:p>
      <w:r>
        <w:drawing>
          <wp:inline distT="0" distB="0" distL="0" distR="0">
            <wp:extent cx="5271770" cy="2964815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点击“估价”选项，进入估价模块。企业可根据需要进行“价格预审核申请”、“价格预审核查询”、“接收海关审价文书”等业务操作。选择点击“公式定价货物备案”，企业可以进行“公式定价备案申请”、“公式定价备案变更”、“公式定价备案作废”、“公式定价备案查询”等操作。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ind w:firstLineChars="196" w:firstLine="412"/>
        <w:rPr>
          <w:b/>
          <w:szCs w:val="21"/>
        </w:rPr>
      </w:pPr>
      <w:r>
        <w:rPr>
          <w:rFonts w:hint="eastAsia"/>
          <w:b/>
          <w:szCs w:val="21"/>
        </w:rPr>
        <w:t>二、审价作业文书</w:t>
      </w:r>
    </w:p>
    <w:p>
      <w:pPr>
        <w:spacing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进入“接收海关审价文书”模块，选择“查询”功能。企业可从“文书类型”下拉菜单中选择“质疑通知书”、“磋商通知书”、“磋商记录表”、“估价告知书”等类型分别进行查询。</w:t>
      </w:r>
    </w:p>
    <w:p>
      <w:r>
        <w:drawing>
          <wp:inline distT="0" distB="0" distL="0" distR="0">
            <wp:extent cx="5271770" cy="2964815"/>
            <wp:effectExtent l="0" t="0" r="0" b="0"/>
            <wp:docPr id="10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“价格质疑通知书”：选择点击进入“价格质疑通知书”界面后，在最下方有“签收”、“反馈”、“延期”、“打印”等功能按钮。</w:t>
      </w:r>
    </w:p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“签收”：企业应首先输入“受送达人”姓名，点击“签收”按钮对该条记录予以签收，并会收到系统的提示。</w:t>
      </w:r>
    </w:p>
    <w:p>
      <w:r>
        <w:drawing>
          <wp:inline distT="0" distB="0" distL="0" distR="0">
            <wp:extent cx="5271770" cy="2964815"/>
            <wp:effectExtent l="0" t="0" r="0" b="0"/>
            <wp:docPr id="13" name="图片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“反馈”：企业根据海关质疑要求对相关情况核实后，上传相关资料附件，点击“反馈”按钮向海关反馈。</w:t>
      </w:r>
    </w:p>
    <w:p>
      <w:r>
        <w:drawing>
          <wp:inline distT="0" distB="0" distL="0" distR="0">
            <wp:extent cx="5271770" cy="2964815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“延期”：若企业需要向海关申请价格质疑通知书的延期，可在上传申请</w:t>
      </w:r>
      <w:r>
        <w:rPr>
          <w:szCs w:val="21"/>
        </w:rPr>
        <w:t>延期</w:t>
      </w:r>
      <w:r>
        <w:rPr>
          <w:rFonts w:hint="eastAsia"/>
          <w:szCs w:val="21"/>
        </w:rPr>
        <w:t>的相关材料后，点击“延期”按钮，选择“延期时间”并输入“延期原因”，点击“确定”按钮向海关提出延期申请。</w:t>
      </w:r>
    </w:p>
    <w:p>
      <w:r>
        <w:drawing>
          <wp:inline distT="0" distB="0" distL="0" distR="0">
            <wp:extent cx="5271770" cy="2964815"/>
            <wp:effectExtent l="0" t="0" r="0" b="0"/>
            <wp:docPr id="19" name="图片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“打印”：点击“打印”按钮，进入打印界面。</w:t>
      </w:r>
    </w:p>
    <w:p>
      <w:r>
        <w:drawing>
          <wp:inline distT="0" distB="0" distL="0" distR="0">
            <wp:extent cx="5271770" cy="2964815"/>
            <wp:effectExtent l="0" t="0" r="0" b="0"/>
            <wp:docPr id="22" name="图片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“价格磋商通知书”：选择点击进入“价格磋商通知书”界面后，在最下方有“签收”、“打印”等功能按钮。</w:t>
      </w:r>
    </w:p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“签收”：企业应首先输入“受送达人”姓名，点击“签收”按钮对该条记录予以签收，并会收到系统的提示。</w:t>
      </w:r>
    </w:p>
    <w:p>
      <w:r>
        <w:drawing>
          <wp:inline distT="0" distB="0" distL="0" distR="0">
            <wp:extent cx="5271770" cy="2964815"/>
            <wp:effectExtent l="0" t="0" r="0" b="0"/>
            <wp:docPr id="25" name="图片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图片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“打印”：点击“打印”按钮，进入打印界面。</w:t>
      </w:r>
    </w:p>
    <w:p>
      <w:r>
        <w:drawing>
          <wp:inline distT="0" distB="0" distL="0" distR="0">
            <wp:extent cx="5271770" cy="2964815"/>
            <wp:effectExtent l="0" t="0" r="0" b="0"/>
            <wp:docPr id="28" name="图片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图片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“价格磋商记录表”：选择点击进入“价格磋商记录表”界面后，在最下方有“签收”、“反馈”、“打印”等功能按钮。</w:t>
      </w:r>
    </w:p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“签收”：企业应首先点击“签收”按钮对该条记录予以签收，并会收到系统的提示。</w:t>
      </w:r>
    </w:p>
    <w:p>
      <w:r>
        <w:drawing>
          <wp:inline distT="0" distB="0" distL="0" distR="0">
            <wp:extent cx="5271770" cy="2964815"/>
            <wp:effectExtent l="0" t="0" r="0" b="0"/>
            <wp:docPr id="31" name="图片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图片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“反馈”：企业根据海关磋商要求对相关情况核实后，上传相关资料附件，点击“反馈”按钮向海关反馈。</w:t>
      </w:r>
    </w:p>
    <w:p>
      <w:r>
        <w:drawing>
          <wp:inline distT="0" distB="0" distL="0" distR="0">
            <wp:extent cx="5271770" cy="2964815"/>
            <wp:effectExtent l="0" t="0" r="0" b="0"/>
            <wp:docPr id="34" name="图片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图片 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/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“打印”：点击“打印”按钮，进入打印界面。</w:t>
      </w:r>
    </w:p>
    <w:p>
      <w:r>
        <w:drawing>
          <wp:inline distT="0" distB="0" distL="0" distR="0">
            <wp:extent cx="5271770" cy="2964815"/>
            <wp:effectExtent l="0" t="0" r="0" b="0"/>
            <wp:docPr id="37" name="图片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图片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770" cy="29648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/>
          <w:spacing w:val="6"/>
          <w:szCs w:val="21"/>
        </w:rPr>
      </w:pPr>
    </w:p>
    <w:p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“估价告知书”：选择点击“估价告知书”界面后，可以查看到本企业的估价告知书，进入详细页面可以打印相关告知书。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ind w:firstLine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image" Target="media/26.png"/><Relationship Id="rId11" Type="http://schemas.openxmlformats.org/officeDocument/2006/relationships/image" Target="media/29.png"/><Relationship Id="rId12" Type="http://schemas.openxmlformats.org/officeDocument/2006/relationships/image" Target="media/32.png"/><Relationship Id="rId13" Type="http://schemas.openxmlformats.org/officeDocument/2006/relationships/image" Target="media/35.png"/><Relationship Id="rId14" Type="http://schemas.openxmlformats.org/officeDocument/2006/relationships/image" Target="media/38.png"/><Relationship Id="rId15" Type="http://schemas.openxmlformats.org/officeDocument/2006/relationships/styles" Target="styles.xml"/><Relationship Id="rId1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3</Words>
  <Characters>3</Characters>
  <Lines>1</Lines>
  <Paragraphs>0</Paragraphs>
  <CharactersWithSpaces>3</CharactersWithSpaces>
  <Company>GZHG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陈泽君</dc:creator>
  <cp:lastModifiedBy>张浩</cp:lastModifiedBy>
  <cp:revision>3</cp:revision>
  <dcterms:created xsi:type="dcterms:W3CDTF">2023-09-22T02:27:00Z</dcterms:created>
  <dcterms:modified xsi:type="dcterms:W3CDTF">2023-09-27T02:52:58Z</dcterms:modified>
</cp:coreProperties>
</file>