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spacing w:line="500" w:lineRule="exact"/>
        <w:jc w:val="center"/>
        <w:rPr>
          <w:rFonts w:ascii="方正黑体_GBK" w:eastAsia="方正黑体_GBK"/>
          <w:b/>
          <w:bCs/>
          <w:color w:val="000000"/>
          <w:sz w:val="32"/>
          <w:szCs w:val="32"/>
        </w:rPr>
      </w:pPr>
      <w:r>
        <w:rPr>
          <w:rFonts w:ascii="方正黑体_GBK" w:eastAsia="方正黑体_GBK" w:hint="eastAsia"/>
          <w:b/>
          <w:bCs/>
          <w:color w:val="000000"/>
          <w:sz w:val="32"/>
          <w:szCs w:val="32"/>
        </w:rPr>
        <w:t>中华人民共和国北仑海关</w:t>
      </w:r>
    </w:p>
    <w:p>
      <w:pPr>
        <w:spacing w:line="500" w:lineRule="exact"/>
        <w:jc w:val="center"/>
        <w:rPr>
          <w:rFonts w:ascii="方正黑体_GBK" w:eastAsia="方正黑体_GBK"/>
          <w:b/>
          <w:bCs/>
          <w:color w:val="000000"/>
          <w:sz w:val="32"/>
          <w:szCs w:val="32"/>
        </w:rPr>
      </w:pPr>
      <w:r>
        <w:rPr>
          <w:rFonts w:ascii="方正黑体_GBK" w:eastAsia="方正黑体_GBK" w:hint="eastAsia"/>
          <w:b/>
          <w:bCs/>
          <w:color w:val="000000"/>
          <w:sz w:val="32"/>
          <w:szCs w:val="32"/>
        </w:rPr>
        <w:t>行政处罚决定书</w:t>
      </w:r>
    </w:p>
    <w:p>
      <w:pPr>
        <w:spacing w:line="500" w:lineRule="exact"/>
        <w:jc w:val="center"/>
        <w:rPr>
          <w:rFonts w:ascii="方正仿宋_GBK" w:eastAsia="方正仿宋_GBK"/>
          <w:b/>
          <w:bCs/>
          <w:color w:val="000000"/>
          <w:sz w:val="32"/>
          <w:szCs w:val="32"/>
        </w:rPr>
      </w:pPr>
    </w:p>
    <w:p>
      <w:pPr>
        <w:spacing w:line="500" w:lineRule="exact"/>
        <w:jc w:val="right"/>
        <w:rPr>
          <w:rFonts w:ascii="方正仿宋_GBK" w:eastAsia="方正仿宋_GBK"/>
          <w:color w:val="000000"/>
          <w:sz w:val="32"/>
          <w:szCs w:val="32"/>
        </w:rPr>
      </w:pPr>
      <w:r>
        <w:rPr>
          <w:rFonts w:ascii="方正仿宋_GBK" w:eastAsia="方正仿宋_GBK" w:hint="eastAsia"/>
          <w:color w:val="000000"/>
          <w:sz w:val="32"/>
          <w:szCs w:val="32"/>
        </w:rPr>
        <w:t>甬北关知字﹝2026﹞0159号</w:t>
      </w:r>
    </w:p>
    <w:p>
      <w:pPr>
        <w:spacing w:line="560" w:lineRule="exact"/>
        <w:rPr>
          <w:rFonts w:ascii="方正仿宋_GBK" w:eastAsia="方正仿宋_GBK"/>
          <w:color w:val="000000"/>
          <w:sz w:val="32"/>
          <w:szCs w:val="32"/>
        </w:rPr>
      </w:pPr>
      <w:r>
        <w:rPr>
          <w:rFonts w:ascii="方正仿宋_GBK" w:eastAsia="方正仿宋_GBK" w:hint="eastAsia"/>
          <w:color w:val="000000"/>
          <w:sz w:val="32"/>
          <w:szCs w:val="32"/>
        </w:rPr>
        <w:t>当事人名称：温岭市外合丰贸易有限公司</w:t>
      </w:r>
    </w:p>
    <w:p>
      <w:pPr>
        <w:spacing w:line="560" w:lineRule="exact"/>
        <w:rPr>
          <w:rFonts w:ascii="方正仿宋_GBK" w:eastAsia="方正仿宋_GBK"/>
          <w:color w:val="000000"/>
          <w:sz w:val="32"/>
          <w:szCs w:val="32"/>
        </w:rPr>
      </w:pPr>
      <w:r>
        <w:rPr>
          <w:rFonts w:ascii="方正仿宋_GBK" w:eastAsia="方正仿宋_GBK" w:hint="eastAsia"/>
          <w:color w:val="000000"/>
          <w:sz w:val="32"/>
          <w:szCs w:val="32"/>
        </w:rPr>
        <w:t>统一社会信用代码：</w:t>
      </w:r>
      <w:r>
        <w:rPr>
          <w:rFonts w:ascii="方正仿宋_GBK" w:eastAsia="方正仿宋_GBK"/>
          <w:color w:val="000000"/>
          <w:sz w:val="32"/>
          <w:szCs w:val="32"/>
        </w:rPr>
        <w:t>913310810669230511</w:t>
      </w:r>
    </w:p>
    <w:p>
      <w:pPr>
        <w:spacing w:line="560" w:lineRule="exact"/>
        <w:rPr>
          <w:rFonts w:ascii="方正仿宋_GBK" w:eastAsia="方正仿宋_GBK"/>
          <w:color w:val="000000"/>
          <w:sz w:val="32"/>
          <w:szCs w:val="32"/>
        </w:rPr>
      </w:pPr>
      <w:r>
        <w:rPr>
          <w:rFonts w:ascii="方正仿宋_GBK" w:eastAsia="方正仿宋_GBK" w:hint="eastAsia"/>
          <w:color w:val="000000"/>
          <w:sz w:val="32"/>
          <w:szCs w:val="32"/>
        </w:rPr>
        <w:t>法定代表人：</w:t>
      </w:r>
      <w:r>
        <w:rPr>
          <w:rFonts w:ascii="方正仿宋_GBK" w:eastAsia="方正仿宋_GBK"/>
          <w:color w:val="000000"/>
          <w:sz w:val="32"/>
          <w:szCs w:val="32"/>
        </w:rPr>
        <w:t>童正香</w:t>
      </w:r>
    </w:p>
    <w:p>
      <w:pPr>
        <w:spacing w:line="560" w:lineRule="exact"/>
        <w:rPr>
          <w:rFonts w:ascii="方正仿宋_GBK" w:eastAsia="方正仿宋_GBK"/>
          <w:color w:val="000000"/>
          <w:sz w:val="32"/>
          <w:szCs w:val="32"/>
        </w:rPr>
      </w:pPr>
      <w:r>
        <w:rPr>
          <w:rFonts w:ascii="方正仿宋_GBK" w:eastAsia="方正仿宋_GBK" w:hint="eastAsia"/>
          <w:color w:val="000000"/>
          <w:sz w:val="32"/>
          <w:szCs w:val="32"/>
        </w:rPr>
        <w:t>地址：</w:t>
      </w:r>
      <w:r>
        <w:rPr>
          <w:rFonts w:ascii="方正仿宋_GBK" w:eastAsia="方正仿宋_GBK"/>
          <w:color w:val="000000"/>
          <w:sz w:val="32"/>
          <w:szCs w:val="32"/>
        </w:rPr>
        <w:t>温岭市横峰街道邱家岸村2-190号</w:t>
      </w:r>
    </w:p>
    <w:p>
      <w:pPr>
        <w:spacing w:line="560" w:lineRule="exact"/>
        <w:ind w:firstLine="5600"/>
        <w:rPr>
          <w:rFonts w:ascii="方正仿宋_GBK" w:eastAsia="方正仿宋_GBK"/>
          <w:color w:val="000000"/>
          <w:sz w:val="32"/>
          <w:szCs w:val="32"/>
        </w:rPr>
      </w:pPr>
    </w:p>
    <w:p>
      <w:pPr>
        <w:spacing w:line="560" w:lineRule="exact"/>
        <w:ind w:firstLine="630"/>
        <w:rPr>
          <w:rFonts w:ascii="方正仿宋_GBK" w:eastAsia="方正仿宋_GBK"/>
          <w:color w:val="000000"/>
          <w:sz w:val="32"/>
          <w:szCs w:val="32"/>
        </w:rPr>
      </w:pPr>
      <w:r>
        <w:rPr>
          <w:rFonts w:ascii="方正仿宋_GBK" w:eastAsia="方正仿宋_GBK" w:hint="eastAsia"/>
          <w:color w:val="000000"/>
          <w:sz w:val="32"/>
          <w:szCs w:val="32"/>
        </w:rPr>
        <w:t>2026年03月19日，温岭市外合丰贸易有限公司向海关申报出口一批休闲鞋(PU面)等货物（报关单号：310120260518838240）。经查验，该批货物中有“耐克钩图形”商标的休闲鞋(PU面)19164双，价值人民币383280元。经联系，耐克创新有限合伙公司认为上述货物属于侵犯其“耐克钩图形”(海关备案号：</w:t>
      </w:r>
      <w:r>
        <w:rPr>
          <w:rFonts w:ascii="方正仿宋_GBK" w:eastAsia="方正仿宋_GBK"/>
          <w:color w:val="000000"/>
          <w:sz w:val="32"/>
          <w:szCs w:val="32"/>
        </w:rPr>
        <w:t>T2019-72254</w:t>
      </w:r>
      <w:r>
        <w:rPr>
          <w:rFonts w:ascii="方正仿宋_GBK" w:eastAsia="方正仿宋_GBK" w:hint="eastAsia"/>
          <w:color w:val="000000"/>
          <w:sz w:val="32"/>
          <w:szCs w:val="32"/>
        </w:rPr>
        <w:t>)商标权的商品，并向海关提出采取知识产权保护措施的申请。</w:t>
      </w:r>
    </w:p>
    <w:p>
      <w:pPr>
        <w:spacing w:line="560" w:lineRule="exact"/>
        <w:ind w:firstLine="630"/>
        <w:rPr>
          <w:rFonts w:ascii="方正仿宋_GBK" w:eastAsia="方正仿宋_GBK"/>
          <w:color w:val="000000"/>
          <w:sz w:val="32"/>
          <w:szCs w:val="32"/>
        </w:rPr>
      </w:pPr>
      <w:r>
        <w:rPr>
          <w:rFonts w:ascii="方正仿宋_GBK" w:eastAsia="方正仿宋_GBK" w:hint="eastAsia"/>
          <w:color w:val="000000"/>
          <w:sz w:val="32"/>
          <w:szCs w:val="32"/>
        </w:rPr>
        <w:t>我关经调查，认为当事人出口的休闲鞋(PU面)上使用的“耐克钩图形”商标，与商标权人注册的商标相同，且事先未经商标权人许可。依照《中华人民共和国商标法》第五十七条第一项的规定，上述货物属于侵犯他人商标权的商品，当事人的行为已构成出口侵犯他人商标权货物的行为。</w:t>
      </w:r>
    </w:p>
    <w:p>
      <w:pPr>
        <w:autoSpaceDN w:val="0"/>
        <w:spacing w:line="560" w:lineRule="exact"/>
        <w:ind w:firstLine="539"/>
        <w:rPr>
          <w:color w:val="000000"/>
          <w:sz w:val="32"/>
          <w:szCs w:val="32"/>
        </w:rPr>
      </w:pPr>
      <w:r>
        <w:rPr>
          <w:rFonts w:eastAsia="方正仿宋_GBK" w:hAnsi="方正仿宋_GBK"/>
          <w:color w:val="000000"/>
          <w:sz w:val="32"/>
          <w:szCs w:val="32"/>
        </w:rPr>
        <w:t>案件办理过程中</w:t>
      </w:r>
      <w:r>
        <w:rPr>
          <w:rFonts w:eastAsia="方正仿宋_GBK"/>
          <w:color w:val="000000"/>
          <w:sz w:val="32"/>
          <w:szCs w:val="32"/>
        </w:rPr>
        <w:t>，当事人配合海关查处出口侵权货物违法行为且认错认罚，具有从轻处罚情节。</w:t>
      </w:r>
    </w:p>
    <w:p>
      <w:pPr>
        <w:spacing w:line="560" w:lineRule="exact"/>
        <w:ind w:firstLine="630"/>
        <w:rPr>
          <w:rFonts w:ascii="方正仿宋_GBK" w:eastAsia="方正仿宋_GBK"/>
          <w:color w:val="000000"/>
          <w:sz w:val="32"/>
          <w:szCs w:val="32"/>
        </w:rPr>
      </w:pPr>
      <w:r>
        <w:rPr>
          <w:rFonts w:ascii="方正仿宋_GBK" w:eastAsia="方正仿宋_GBK" w:hint="eastAsia"/>
          <w:color w:val="000000"/>
          <w:sz w:val="32"/>
          <w:szCs w:val="32"/>
        </w:rPr>
        <w:t>以上事实有海关出口货物报关单证、海关查验记录、权利人权利证明、扣留凭单、当事人陈述、认错认罚声明、工商资料等材料为证。</w:t>
      </w:r>
    </w:p>
    <w:p>
      <w:pPr>
        <w:spacing w:line="560" w:lineRule="exact"/>
        <w:ind w:firstLine="630"/>
        <w:rPr>
          <w:rFonts w:ascii="方正仿宋_GBK" w:eastAsia="方正仿宋_GBK"/>
          <w:color w:val="000000"/>
          <w:sz w:val="32"/>
          <w:szCs w:val="32"/>
        </w:rPr>
      </w:pPr>
      <w:r>
        <w:rPr>
          <w:rFonts w:eastAsia="方正仿宋_GBK" w:hint="eastAsia"/>
          <w:color w:val="000000"/>
          <w:sz w:val="32"/>
          <w:szCs w:val="32"/>
        </w:rPr>
        <w:t>依照《中华人民共和国海关行政处罚实施条例》第二十五条第一款之规定，并按照《中华人民共和国海关行政处罚裁量基准（三）》（海关总署公告</w:t>
      </w:r>
      <w:r>
        <w:rPr>
          <w:rFonts w:eastAsia="方正仿宋_GBK"/>
          <w:color w:val="000000"/>
          <w:sz w:val="32"/>
          <w:szCs w:val="32"/>
        </w:rPr>
        <w:t>2023</w:t>
      </w:r>
      <w:r>
        <w:rPr>
          <w:rFonts w:eastAsia="方正仿宋_GBK" w:hint="eastAsia"/>
          <w:color w:val="000000"/>
          <w:sz w:val="32"/>
          <w:szCs w:val="32"/>
        </w:rPr>
        <w:t>年第</w:t>
      </w:r>
      <w:r>
        <w:rPr>
          <w:rFonts w:eastAsia="方正仿宋_GBK"/>
          <w:color w:val="000000"/>
          <w:sz w:val="32"/>
          <w:szCs w:val="32"/>
        </w:rPr>
        <w:t>198</w:t>
      </w:r>
      <w:r>
        <w:rPr>
          <w:rFonts w:eastAsia="方正仿宋_GBK" w:hint="eastAsia"/>
          <w:color w:val="000000"/>
          <w:sz w:val="32"/>
          <w:szCs w:val="32"/>
        </w:rPr>
        <w:t>号发布）</w:t>
      </w:r>
      <w:r>
        <w:rPr>
          <w:rFonts w:eastAsia="方正仿宋_GBK" w:hAnsi="方正仿宋_GBK"/>
          <w:color w:val="000000"/>
          <w:sz w:val="32"/>
          <w:szCs w:val="32"/>
        </w:rPr>
        <w:t>第十一条第二项、第十三条第二项</w:t>
      </w:r>
      <w:r>
        <w:rPr>
          <w:rFonts w:eastAsia="方正仿宋_GBK" w:hint="eastAsia"/>
          <w:color w:val="000000"/>
          <w:sz w:val="32"/>
          <w:szCs w:val="32"/>
        </w:rPr>
        <w:t>裁量</w:t>
      </w:r>
      <w:r>
        <w:rPr>
          <w:rFonts w:ascii="方正仿宋_GBK" w:eastAsia="方正仿宋_GBK" w:hint="eastAsia"/>
          <w:color w:val="000000"/>
          <w:sz w:val="32"/>
          <w:szCs w:val="32"/>
        </w:rPr>
        <w:t>，决定没收当事人侵权货物（“耐克钩图形”商标的休闲鞋(PU面)19164双），并处罚款人民币19200元。</w:t>
      </w:r>
    </w:p>
    <w:p>
      <w:pPr>
        <w:pStyle w:val="17"/>
        <w:spacing w:line="560" w:lineRule="exact"/>
        <w:ind w:firstLine="630"/>
        <w:rPr>
          <w:rFonts w:ascii="方正仿宋_GBK" w:eastAsia="方正仿宋_GBK"/>
          <w:color w:val="000000"/>
          <w:sz w:val="32"/>
          <w:szCs w:val="32"/>
        </w:rPr>
      </w:pPr>
      <w:r>
        <w:rPr>
          <w:rFonts w:ascii="方正仿宋_GBK" w:eastAsia="方正仿宋_GBK" w:hint="eastAsia"/>
          <w:color w:val="000000"/>
          <w:sz w:val="32"/>
          <w:szCs w:val="32"/>
        </w:rPr>
        <w:t>依照《中华人民共和国行政处罚法》第六十六条、第六十七条、第六十九条的规定，当事人应当自本处罚决定书送达之日起十五日内履行上述处罚决定。</w:t>
      </w:r>
    </w:p>
    <w:p>
      <w:pPr>
        <w:spacing w:line="560" w:lineRule="exact"/>
        <w:ind w:firstLine="630"/>
        <w:rPr>
          <w:rFonts w:ascii="方正仿宋_GBK" w:eastAsia="方正仿宋_GBK"/>
          <w:color w:val="000000"/>
          <w:sz w:val="32"/>
          <w:szCs w:val="32"/>
        </w:rPr>
      </w:pPr>
      <w:r>
        <w:rPr>
          <w:rFonts w:ascii="方正仿宋_GBK" w:eastAsia="方正仿宋_GBK" w:hint="eastAsia"/>
          <w:color w:val="000000"/>
          <w:sz w:val="32"/>
          <w:szCs w:val="32"/>
        </w:rPr>
        <w:t>当事人不服本处罚决定的，依照《中华人民共和国行政复议法》第二十条、第二十七条，《中华人民共和国行政诉讼法》第四十六条之规定，可自本处罚决定书送达之日起六十日内向宁波海关申请行政复议，或者自本处罚决定书送达之日起六个月内，直接向宁波市中级人民法院起诉。</w:t>
      </w:r>
    </w:p>
    <w:p>
      <w:pPr>
        <w:pStyle w:val="18"/>
        <w:spacing w:line="560" w:lineRule="exact"/>
        <w:ind w:firstLine="630"/>
        <w:rPr>
          <w:rFonts w:ascii="方正仿宋_GBK" w:eastAsia="方正仿宋_GBK"/>
          <w:color w:val="000000"/>
          <w:sz w:val="32"/>
          <w:szCs w:val="32"/>
        </w:rPr>
      </w:pPr>
      <w:r>
        <w:rPr>
          <w:rFonts w:ascii="方正仿宋_GBK" w:eastAsia="方正仿宋_GBK" w:hint="eastAsia"/>
          <w:color w:val="000000"/>
          <w:sz w:val="32"/>
          <w:szCs w:val="32"/>
        </w:rPr>
        <w:t>依照《中华人民共和国行政处罚法》第七十二条之规定，到期不缴纳罚款的，每日可以按罚款数额的百分之三加处罚款。</w:t>
      </w:r>
    </w:p>
    <w:p>
      <w:pPr>
        <w:spacing w:line="560" w:lineRule="exact"/>
        <w:ind w:firstLine="630"/>
        <w:rPr>
          <w:rFonts w:ascii="方正仿宋_GBK" w:eastAsia="方正仿宋_GBK"/>
          <w:color w:val="000000"/>
          <w:sz w:val="32"/>
          <w:szCs w:val="32"/>
        </w:rPr>
      </w:pPr>
      <w:r>
        <w:rPr>
          <w:rFonts w:ascii="方正仿宋_GBK" w:eastAsia="方正仿宋_GBK" w:hint="eastAsia"/>
          <w:color w:val="000000"/>
          <w:sz w:val="32"/>
          <w:szCs w:val="32"/>
        </w:rPr>
        <w:t>依照《中华人民共和国海关法》第九十三条、《中华人民共和国海关行政处罚实施条例》第六十条的规定，当事人逾期不履行处罚决定又不申请复议或者向人民法院提起诉讼的，海关可以将扣留的货物、物品、运输工具依法变价抵缴，或者以当事人提供的担保抵缴；也可以申请人民法院强制执行。</w:t>
      </w:r>
    </w:p>
    <w:p>
      <w:pPr>
        <w:spacing w:line="560" w:lineRule="exact"/>
        <w:ind w:firstLine="630"/>
        <w:rPr>
          <w:rFonts w:ascii="方正仿宋_GBK" w:eastAsia="方正仿宋_GBK"/>
          <w:color w:val="000000"/>
          <w:sz w:val="32"/>
          <w:szCs w:val="32"/>
        </w:rPr>
      </w:pPr>
    </w:p>
    <w:p>
      <w:pPr>
        <w:spacing w:line="560" w:lineRule="exact"/>
        <w:ind w:firstLine="630"/>
        <w:rPr>
          <w:rFonts w:ascii="方正仿宋_GBK" w:eastAsia="方正仿宋_GBK"/>
          <w:color w:val="000000"/>
          <w:sz w:val="32"/>
          <w:szCs w:val="32"/>
        </w:rPr>
      </w:pPr>
    </w:p>
    <w:p>
      <w:pPr>
        <w:spacing w:line="560" w:lineRule="exact"/>
        <w:ind w:firstLine="630"/>
        <w:rPr>
          <w:rFonts w:ascii="方正仿宋_GBK" w:eastAsia="方正仿宋_GBK"/>
          <w:color w:val="000000"/>
          <w:sz w:val="32"/>
          <w:szCs w:val="32"/>
        </w:rPr>
      </w:pPr>
    </w:p>
    <w:p>
      <w:pPr>
        <w:pStyle w:val="15"/>
        <w:spacing w:line="560" w:lineRule="exact"/>
        <w:ind w:firstLine="0"/>
        <w:jc w:val="right"/>
        <w:rPr>
          <w:rFonts w:ascii="方正仿宋_GBK" w:eastAsia="方正仿宋_GBK"/>
          <w:color w:val="000000"/>
          <w:sz w:val="32"/>
          <w:szCs w:val="32"/>
        </w:rPr>
      </w:pPr>
      <w:r>
        <w:rPr>
          <w:rFonts w:ascii="方正仿宋_GBK" w:eastAsia="方正仿宋_GBK" w:hint="eastAsia"/>
          <w:color w:val="000000"/>
          <w:sz w:val="32"/>
          <w:szCs w:val="32"/>
        </w:rPr>
        <w:t xml:space="preserve">                                    二○二六年</w:t>
      </w:r>
      <w:r>
        <w:rPr>
          <w:rFonts w:ascii="方正仿宋_GBK" w:eastAsia="方正仿宋_GBK"/>
          <w:color w:val="000000"/>
          <w:sz w:val="32"/>
          <w:szCs w:val="32"/>
        </w:rPr>
        <w:t>十</w:t>
      </w:r>
      <w:r>
        <w:rPr>
          <w:rFonts w:ascii="方正仿宋_GBK" w:eastAsia="方正仿宋_GBK" w:hint="eastAsia"/>
          <w:color w:val="000000"/>
          <w:sz w:val="32"/>
          <w:szCs w:val="32"/>
        </w:rPr>
        <w:t>月</w:t>
      </w:r>
      <w:r>
        <w:rPr>
          <w:rFonts w:ascii="方正仿宋_GBK" w:eastAsia="方正仿宋_GBK"/>
          <w:color w:val="000000"/>
          <w:sz w:val="32"/>
          <w:szCs w:val="32"/>
        </w:rPr>
        <w:t>十二</w:t>
      </w:r>
      <w:bookmarkStart w:id="0" w:name="_GoBack"/>
      <w:bookmarkEnd w:id="0"/>
      <w:r>
        <w:rPr>
          <w:rFonts w:ascii="方正仿宋_GBK" w:eastAsia="方正仿宋_GBK" w:hint="eastAsia"/>
          <w:color w:val="000000"/>
          <w:sz w:val="32"/>
          <w:szCs w:val="32"/>
        </w:rPr>
        <w:t>日</w:t>
      </w:r>
    </w:p>
    <w:p>
      <w:pPr>
        <w:spacing w:line="560" w:lineRule="exact"/>
        <w:rPr>
          <w:color w:val="000000"/>
          <w:sz w:val="32"/>
          <w:szCs w:val="32"/>
        </w:rPr>
      </w:pPr>
    </w:p>
    <w:p>
      <w:pPr>
        <w:spacing w:line="560" w:lineRule="exact"/>
        <w:rPr>
          <w:color w:val="000000"/>
          <w:sz w:val="32"/>
          <w:szCs w:val="32"/>
        </w:rPr>
      </w:pPr>
    </w:p>
    <w:sectPr>
      <w:pgSz w:w="11906" w:h="16838"/>
      <w:pgMar w:top="1246" w:right="1286" w:bottom="1246" w:left="1440" w:header="851" w:footer="992" w:gutter="0"/>
      <w:cols w:num="1" w:space="720"/>
      <w:docGrid w:type="lines" w:linePitch="312" w:charSpace="0"/>
    </w:sectPr>
  </w:body>
</w:document>
</file>

<file path=word/fontTable.xml><?xml version="1.0" encoding="utf-8"?>
<w:fonts xmlns:w="http://schemas.openxmlformats.org/wordprocessingml/2006/main" xmlns:r="http://schemas.openxmlformats.org/officeDocument/2006/relationships">
  <w:font w:name="方正黑体_GBK">
    <w:panose1 w:val="03000509000000000000"/>
    <w:charset w:val="86"/>
    <w:family w:val="script"/>
    <w:pitch w:val="variable"/>
    <w:sig w:usb0="00000001" w:usb1="080E0000" w:usb2="00000010" w:usb3="00000000" w:csb0="00040000" w:csb1="00000000"/>
  </w:font>
  <w:font w:name="方正仿宋_GBK">
    <w:panose1 w:val="03000509000000000000"/>
    <w:charset w:val="86"/>
    <w:family w:val="script"/>
    <w:pitch w:val="variable"/>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Lucida Sans">
    <w:altName w:val="DejaVu Sans"/>
    <w:panose1 w:val="020B0602030504020204"/>
    <w:charset w:val="00"/>
    <w:family w:val="swiss"/>
    <w:pitch w:val="variable"/>
    <w:sig w:usb0="00000003" w:usb1="00000000" w:usb2="00000000" w:usb3="00000000" w:csb0="00000001" w:csb1="00000000"/>
  </w:font>
  <w:font w:name="黑体">
    <w:altName w:val="方正黑体_GBK"/>
    <w:panose1 w:val="02010609060101010101"/>
    <w:charset w:val="86"/>
    <w:family w:val="modern"/>
    <w:pitch w:val="variable"/>
    <w:sig w:usb0="00000001" w:usb1="080E0000" w:usb2="00000010" w:usb3="00000000" w:csb0="00040000" w:csb1="00000000"/>
  </w:font>
  <w:font w:name="仿宋_GB2312">
    <w:altName w:val="方正仿宋_GBK"/>
    <w:panose1 w:val="00000000000000000000"/>
    <w:charset w:val="86"/>
    <w:family w:val="modern"/>
    <w:pitch w:val="variable"/>
    <w:sig w:usb0="00000000" w:usb1="080E0000" w:usb2="00000010" w:usb3="00000000" w:csb0="00040000"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00"/>
  <w:doNotDisplayPageBoundarie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doNotUseIndentAsNumberingTabStop/>
    <w:useAltKinsokuLineBreakRules/>
    <w:doNotSuppressIndentation/>
    <w:splitPgBreakAndParaMark/>
    <w:compatSetting w:name="compatibilityMode" w:uri="http://schemas.microsoft.com/office/word" w:val="12"/>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0"/>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eastAsia="黑体"/>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Body Text Indent"/>
    <w:basedOn w:val="0"/>
    <w:pPr>
      <w:ind w:firstLine="570"/>
    </w:pPr>
    <w:rPr>
      <w:rFonts w:ascii="仿宋_GB2312" w:eastAsia="仿宋_GB2312"/>
      <w:sz w:val="30"/>
    </w:rPr>
  </w:style>
  <w:style w:type="paragraph" w:customStyle="1" w:styleId="16">
    <w:name w:val="样式 10 磅"/>
    <w:pPr>
      <w:widowControl w:val="0"/>
      <w:jc w:val="both"/>
    </w:pPr>
    <w:rPr>
      <w:rFonts w:ascii="Times New Roman" w:eastAsia="宋体" w:cs="Times New Roman" w:hAnsi="Times New Roman"/>
      <w:kern w:val="2"/>
      <w:sz w:val="21"/>
      <w:szCs w:val="20"/>
      <w:lang w:val="en-US" w:eastAsia="zh-CN" w:bidi="ar-SA"/>
    </w:rPr>
  </w:style>
  <w:style w:type="paragraph" w:customStyle="1" w:styleId="17">
    <w:name w:val="样式 1 10 磅"/>
    <w:pPr>
      <w:widowControl w:val="0"/>
      <w:jc w:val="both"/>
    </w:pPr>
    <w:rPr>
      <w:rFonts w:ascii="Times New Roman" w:eastAsia="宋体" w:cs="Times New Roman" w:hAnsi="Times New Roman"/>
      <w:kern w:val="2"/>
      <w:sz w:val="21"/>
      <w:szCs w:val="20"/>
      <w:lang w:val="en-US" w:eastAsia="zh-CN" w:bidi="ar-SA"/>
    </w:rPr>
  </w:style>
  <w:style w:type="paragraph" w:customStyle="1" w:styleId="18">
    <w:name w:val="样式 2 10 磅"/>
    <w:pPr>
      <w:widowControl w:val="0"/>
      <w:jc w:val="both"/>
    </w:pPr>
    <w:rPr>
      <w:rFonts w:ascii="Times New Roman" w:eastAsia="宋体" w:cs="Times New Roman" w:hAnsi="Times New Roman"/>
      <w:kern w:val="2"/>
      <w:sz w:val="21"/>
      <w:szCs w:val="20"/>
      <w:lang w:val="en-US" w:eastAsia="zh-CN" w:bidi="ar-SA"/>
    </w:rPr>
  </w:style>
  <w:style w:type="paragraph" w:styleId="19">
    <w:name w:val="header"/>
    <w:basedOn w:val="0"/>
    <w:pPr>
      <w:pBdr>
        <w:bottom w:val="single" w:sz="6" w:space="1" w:color="auto"/>
      </w:pBdr>
      <w:tabs>
        <w:tab w:val="center" w:pos="4153"/>
        <w:tab w:val="right" w:pos="8306"/>
      </w:tabs>
      <w:snapToGrid w:val="0"/>
      <w:jc w:val="center"/>
    </w:pPr>
    <w:rPr>
      <w:sz w:val="18"/>
      <w:szCs w:val="18"/>
    </w:rPr>
  </w:style>
  <w:style w:type="paragraph" w:styleId="20">
    <w:name w:val="footer"/>
    <w:basedOn w:val="0"/>
    <w:pPr>
      <w:tabs>
        <w:tab w:val="center" w:pos="4153"/>
        <w:tab w:val="right" w:pos="8306"/>
      </w:tabs>
      <w:snapToGrid w:val="0"/>
      <w:jc w:val="left"/>
    </w:pPr>
    <w:rPr>
      <w:sz w:val="18"/>
      <w:szCs w:val="18"/>
    </w:rPr>
  </w:style>
  <w:style w:type="paragraph" w:styleId="21">
    <w:name w:val="Balloon Text"/>
    <w:basedOn w:val="0"/>
    <w:rPr>
      <w:sz w:val="18"/>
      <w:szCs w:val="18"/>
    </w:rPr>
  </w:style>
  <w:style w:type="paragraph" w:customStyle="1" w:styleId="22">
    <w:name w:val="样式 3 10 磅"/>
    <w:pPr>
      <w:widowControl w:val="0"/>
      <w:jc w:val="both"/>
    </w:pPr>
    <w:rPr>
      <w:rFonts w:ascii="Times New Roman" w:eastAsia="宋体" w:cs="Times New Roman" w:hAnsi="Times New Roman"/>
      <w:kern w:val="2"/>
      <w:sz w:val="21"/>
      <w:szCs w:val="20"/>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365E0F07-5301-4657-A6D5-1CCE59A3CC33}">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60</TotalTime>
  <Application>Yozo_Office27021597764231179</Application>
  <Pages>2</Pages>
  <Words>0</Words>
  <Characters>845</Characters>
  <Lines>0</Lines>
  <Paragraphs>24</Paragraphs>
  <CharactersWithSpaces>1127</CharactersWithSpaces>
  <Company>NBC</Company>
</Properties>
</file>

<file path=docProps/core.xml><?xml version="1.0" encoding="utf-8"?>
<cp:coreProperties xmlns:cp="http://schemas.openxmlformats.org/package/2006/metadata/core-properties" xmlns:dc="http://purl.org/dc/elements/1.1/" xmlns:dcterms="http://purl.org/dc/terms/" xmlns:xsi="http://www.w3.org/2001/XMLSchema-instance">
  <dc:creator>mjl</dc:creator>
  <cp:lastModifiedBy>user</cp:lastModifiedBy>
  <cp:revision>20</cp:revision>
  <dcterms:created xsi:type="dcterms:W3CDTF">2024-03-18T01:59:00Z</dcterms:created>
  <dcterms:modified xsi:type="dcterms:W3CDTF">2026-10-12T05:30:53Z</dcterms:modified>
</cp:coreProperties>
</file>