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中华人民共和国北仑海关</w:t>
      </w:r>
    </w:p>
    <w:p>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行政处罚决定书</w:t>
      </w:r>
    </w:p>
    <w:p>
      <w:pPr>
        <w:spacing w:line="500" w:lineRule="exact"/>
        <w:jc w:val="center"/>
        <w:rPr>
          <w:rFonts w:ascii="方正仿宋_GBK" w:eastAsia="方正仿宋_GBK"/>
          <w:b/>
          <w:bCs/>
          <w:color w:val="000000"/>
          <w:sz w:val="32"/>
          <w:szCs w:val="32"/>
        </w:rPr>
      </w:pPr>
    </w:p>
    <w:p>
      <w:pPr>
        <w:spacing w:line="500" w:lineRule="exact"/>
        <w:jc w:val="right"/>
        <w:rPr>
          <w:rFonts w:ascii="方正仿宋_GBK" w:eastAsia="方正仿宋_GBK"/>
          <w:color w:val="000000"/>
          <w:sz w:val="32"/>
          <w:szCs w:val="32"/>
        </w:rPr>
      </w:pPr>
      <w:r>
        <w:rPr>
          <w:rFonts w:ascii="方正仿宋_GBK" w:eastAsia="方正仿宋_GBK" w:hint="eastAsia"/>
          <w:color w:val="000000"/>
          <w:sz w:val="32"/>
          <w:szCs w:val="32"/>
        </w:rPr>
        <w:t>甬北关知字﹝2026﹞0156号</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当事人名称：义乌闵辛进出口有限公司</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统一社会信用代码：</w:t>
      </w:r>
      <w:r>
        <w:rPr>
          <w:rFonts w:ascii="方正仿宋_GBK" w:eastAsia="方正仿宋_GBK"/>
          <w:color w:val="000000"/>
          <w:sz w:val="32"/>
          <w:szCs w:val="32"/>
        </w:rPr>
        <w:t>91330782MA8GLJ4Q0B</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法定代表人：</w:t>
      </w:r>
      <w:r>
        <w:rPr>
          <w:rFonts w:ascii="方正仿宋_GBK" w:eastAsia="方正仿宋_GBK"/>
          <w:color w:val="000000"/>
          <w:sz w:val="32"/>
          <w:szCs w:val="32"/>
        </w:rPr>
        <w:t>何彬</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地址：</w:t>
      </w:r>
      <w:r>
        <w:rPr>
          <w:rFonts w:ascii="方正仿宋_GBK" w:eastAsia="方正仿宋_GBK"/>
          <w:color w:val="000000"/>
          <w:sz w:val="32"/>
          <w:szCs w:val="32"/>
        </w:rPr>
        <w:t>浙江省义乌市福田街道中福广场4号楼5楼513室</w:t>
      </w:r>
    </w:p>
    <w:p>
      <w:pPr>
        <w:spacing w:line="560" w:lineRule="exact"/>
        <w:ind w:firstLine="560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2026年03月21日，义乌闵辛进出口有限公司向海关申报出口一批</w:t>
      </w:r>
      <w:r>
        <w:rPr>
          <w:rFonts w:ascii="方正仿宋_GBK" w:eastAsia="方正仿宋_GBK"/>
          <w:color w:val="000000"/>
          <w:sz w:val="32"/>
          <w:szCs w:val="32"/>
        </w:rPr>
        <w:t>鞋子</w:t>
      </w:r>
      <w:r>
        <w:rPr>
          <w:rFonts w:ascii="方正仿宋_GBK" w:eastAsia="方正仿宋_GBK" w:hint="eastAsia"/>
          <w:color w:val="000000"/>
          <w:sz w:val="32"/>
          <w:szCs w:val="32"/>
        </w:rPr>
        <w:t>等货物（报关单号：292120260000471771）。经查验，该批货物中有“</w:t>
      </w:r>
      <w:r>
        <w:rPr>
          <w:rFonts w:ascii="方正仿宋_GBK" w:eastAsia="方正仿宋_GBK" w:hint="eastAsia"/>
          <w:color w:val="000000"/>
          <w:sz w:val="32"/>
          <w:szCs w:val="32"/>
        </w:rPr>
        <w:drawing>
          <wp:inline distT="0" distB="0" distL="85723" distR="85723">
            <wp:extent cx="253170" cy="194309"/>
            <wp:effectExtent l="0" t="0" r="0" b="3"/>
            <wp:docPr id="1" name="图片"/>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253170" cy="194309"/>
                    </a:xfrm>
                    <a:prstGeom prst="rect"/>
                    <a:noFill/>
                    <a:ln w="9525" cmpd="sng" cap="flat">
                      <a:noFill/>
                      <a:prstDash val="solid"/>
                      <a:miter/>
                    </a:ln>
                  </pic:spPr>
                </pic:pic>
              </a:graphicData>
            </a:graphic>
          </wp:inline>
        </w:drawing>
      </w:r>
      <w:r>
        <w:rPr>
          <w:rFonts w:ascii="方正仿宋_GBK" w:eastAsia="方正仿宋_GBK" w:hint="eastAsia"/>
          <w:color w:val="000000"/>
          <w:sz w:val="32"/>
          <w:szCs w:val="32"/>
        </w:rPr>
        <w:t>”</w:t>
      </w:r>
      <w:r>
        <w:rPr>
          <w:rFonts w:ascii="方正仿宋_GBK" w:eastAsia="方正仿宋_GBK"/>
          <w:color w:val="000000"/>
          <w:sz w:val="32"/>
          <w:szCs w:val="32"/>
        </w:rPr>
        <w:t>标识</w:t>
      </w:r>
      <w:r>
        <w:rPr>
          <w:rFonts w:ascii="方正仿宋_GBK" w:eastAsia="方正仿宋_GBK" w:hint="eastAsia"/>
          <w:color w:val="000000"/>
          <w:sz w:val="32"/>
          <w:szCs w:val="32"/>
        </w:rPr>
        <w:t>的鞋子6200双，价值人民币136400元、“CONVERSE ALL STAR Chucu Taylor及星图形”商标的鞋子3双，价值人民币66元、“MLB”商标的鞋子2双，价值人民币44元、“NIKE及钩图形”商标的鞋子374双，价值人民币8228元、“LOEWE”商标的鞋子1双，价值人民币22元、“ADIDAS三叶草（图形)”商标的鞋子20双，价值人民币440元、“N”商标的鞋子390双，价值人民币8580元、“凯蒂猫(Hello</w:t>
      </w:r>
      <w:r>
        <w:rPr>
          <w:rFonts w:ascii="Lucida Sans" w:eastAsia="方正仿宋_GBK" w:hAnsi="Lucida Sans"/>
          <w:color w:val="000000"/>
          <w:sz w:val="32"/>
          <w:szCs w:val="32"/>
        </w:rPr>
        <w:t xml:space="preserve"> </w:t>
      </w:r>
      <w:r>
        <w:rPr>
          <w:rFonts w:ascii="方正仿宋_GBK" w:eastAsia="方正仿宋_GBK" w:hint="eastAsia"/>
          <w:color w:val="000000"/>
          <w:sz w:val="32"/>
          <w:szCs w:val="32"/>
        </w:rPr>
        <w:t>Kitty)”</w:t>
      </w:r>
      <w:r>
        <w:rPr>
          <w:rFonts w:ascii="方正仿宋_GBK" w:eastAsia="方正仿宋_GBK"/>
          <w:color w:val="000000"/>
          <w:sz w:val="32"/>
          <w:szCs w:val="32"/>
        </w:rPr>
        <w:t>标识</w:t>
      </w:r>
      <w:r>
        <w:rPr>
          <w:rFonts w:ascii="方正仿宋_GBK" w:eastAsia="方正仿宋_GBK" w:hint="eastAsia"/>
          <w:color w:val="000000"/>
          <w:sz w:val="32"/>
          <w:szCs w:val="32"/>
        </w:rPr>
        <w:t>的鞋子2双，价值人民币44元、“PUMA及图形”商标的鞋子30双，价值人民币660元、“ONITSUKA TIGER”商标的鞋子1双，价值人民币22元，以上货物共价值人民币</w:t>
      </w:r>
      <w:r>
        <w:rPr>
          <w:rFonts w:ascii="方正仿宋_GBK" w:eastAsia="方正仿宋_GBK"/>
          <w:color w:val="000000"/>
          <w:sz w:val="32"/>
          <w:szCs w:val="32"/>
        </w:rPr>
        <w:t>154506</w:t>
      </w:r>
      <w:r>
        <w:rPr>
          <w:rFonts w:ascii="方正仿宋_GBK" w:eastAsia="方正仿宋_GBK" w:hint="eastAsia"/>
          <w:color w:val="000000"/>
          <w:sz w:val="32"/>
          <w:szCs w:val="32"/>
        </w:rPr>
        <w:t>元。经联系，新平衡体育运动公司、全星有限合伙公司、棒球主盟资产公司、耐克创新有限合伙公司、落维有限公司、阿迪达斯有限公司、三丽鸥株式会社、彪马欧洲公司、株式会社爱世克私认为上述货物属于侵犯其“N”、“CONVERSE ALL STAR Chucu Taylor及星图形”、“MLB”、“NIKE及钩图形”、“LOEWE”、“ADIDAS三叶草（图形)”、“凯蒂猫(Hello Kitty)”、“PUMA及图形”、“ONITSUKA TIGER”(海关备案号：</w:t>
      </w:r>
      <w:r>
        <w:rPr>
          <w:rFonts w:ascii="方正仿宋_GBK" w:eastAsia="方正仿宋_GBK"/>
          <w:color w:val="000000"/>
          <w:sz w:val="32"/>
          <w:szCs w:val="32"/>
        </w:rPr>
        <w:t>T2020-93865、T2023-149949、T2020-92934、T2016-47305、T2023-152530、T2023-142389、C2025-203371、T2021-108128、T2019-78067</w:t>
      </w:r>
      <w:r>
        <w:rPr>
          <w:rFonts w:ascii="方正仿宋_GBK" w:eastAsia="方正仿宋_GBK" w:hint="eastAsia"/>
          <w:color w:val="000000"/>
          <w:sz w:val="32"/>
          <w:szCs w:val="32"/>
        </w:rPr>
        <w:t>)著作权、商标权的商品，并向海关提出采取知识产权保护措施的申请。</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我关经调查，认为当事人出口的鞋子上使用的“N”、“CONVERSE ALL STAR Chucu Taylor及星图形”、“MLB”、“NIKE及钩图形”、“LOEWE”、“ADIDAS三叶草（图形)”、“PUMA及图形”、“ONITSUKA TIGER”商标，与商标权人注册的商标相同</w:t>
      </w:r>
      <w:r>
        <w:rPr>
          <w:rFonts w:ascii="方正仿宋_GBK" w:eastAsia="方正仿宋_GBK"/>
          <w:color w:val="000000"/>
          <w:sz w:val="32"/>
          <w:szCs w:val="32"/>
        </w:rPr>
        <w:t>。</w:t>
      </w:r>
      <w:r>
        <w:rPr>
          <w:rFonts w:ascii="方正仿宋_GBK" w:eastAsia="方正仿宋_GBK" w:hint="eastAsia"/>
          <w:color w:val="000000"/>
          <w:sz w:val="32"/>
          <w:szCs w:val="32"/>
        </w:rPr>
        <w:t>出口的鞋子上使用的“</w:t>
      </w:r>
      <w:r>
        <w:rPr>
          <w:rFonts w:ascii="方正仿宋_GBK" w:eastAsia="方正仿宋_GBK" w:hint="eastAsia"/>
          <w:color w:val="000000"/>
          <w:sz w:val="32"/>
          <w:szCs w:val="32"/>
        </w:rPr>
        <w:drawing>
          <wp:inline distT="0" distB="0" distL="85723" distR="85723">
            <wp:extent cx="253170" cy="194309"/>
            <wp:effectExtent l="0" t="0" r="0" b="3"/>
            <wp:docPr id="4" name="图片"/>
            <wp:cNvGraphicFramePr>
              <a:graphicFrameLocks noChangeAspect="1"/>
            </wp:cNvGraphicFramePr>
            <a:graphic>
              <a:graphicData uri="http://schemas.openxmlformats.org/drawingml/2006/picture">
                <pic:pic>
                  <pic:nvPicPr>
                    <pic:cNvPr id="5" name="图片 5"/>
                    <pic:cNvPicPr/>
                  </pic:nvPicPr>
                  <pic:blipFill>
                    <a:blip r:embed="rId3"/>
                    <a:stretch>
                      <a:fillRect/>
                    </a:stretch>
                  </pic:blipFill>
                  <pic:spPr>
                    <a:xfrm rot="0">
                      <a:off x="0" y="0"/>
                      <a:ext cx="253170" cy="194309"/>
                    </a:xfrm>
                    <a:prstGeom prst="rect"/>
                    <a:noFill/>
                    <a:ln w="9525" cmpd="sng" cap="flat">
                      <a:noFill/>
                      <a:prstDash val="solid"/>
                      <a:miter/>
                    </a:ln>
                  </pic:spPr>
                </pic:pic>
              </a:graphicData>
            </a:graphic>
          </wp:inline>
        </w:drawing>
      </w:r>
      <w:r>
        <w:rPr>
          <w:rFonts w:ascii="方正仿宋_GBK" w:eastAsia="方正仿宋_GBK" w:hint="eastAsia"/>
          <w:color w:val="000000"/>
          <w:sz w:val="32"/>
          <w:szCs w:val="32"/>
        </w:rPr>
        <w:t>”</w:t>
      </w:r>
      <w:r>
        <w:rPr>
          <w:rFonts w:ascii="方正仿宋_GBK" w:eastAsia="方正仿宋_GBK"/>
          <w:color w:val="000000"/>
          <w:sz w:val="32"/>
          <w:szCs w:val="32"/>
        </w:rPr>
        <w:t>标识</w:t>
      </w:r>
      <w:r>
        <w:rPr>
          <w:rFonts w:ascii="方正仿宋_GBK" w:eastAsia="方正仿宋_GBK" w:hint="eastAsia"/>
          <w:color w:val="000000"/>
          <w:sz w:val="32"/>
          <w:szCs w:val="32"/>
        </w:rPr>
        <w:t>，与商标权人注册的商标构成近似，且事先未经商标权人许可。出口的鞋子上使用的“凯蒂猫(Hello</w:t>
      </w:r>
      <w:r>
        <w:rPr>
          <w:rFonts w:ascii="Lucida Sans" w:eastAsia="方正仿宋_GBK" w:hAnsi="Lucida Sans"/>
          <w:color w:val="000000"/>
          <w:sz w:val="32"/>
          <w:szCs w:val="32"/>
        </w:rPr>
        <w:t xml:space="preserve"> </w:t>
      </w:r>
      <w:r>
        <w:rPr>
          <w:rFonts w:ascii="方正仿宋_GBK" w:eastAsia="方正仿宋_GBK" w:hint="eastAsia"/>
          <w:color w:val="000000"/>
          <w:sz w:val="32"/>
          <w:szCs w:val="32"/>
        </w:rPr>
        <w:t>Kitty)”</w:t>
      </w:r>
      <w:r>
        <w:rPr>
          <w:rFonts w:ascii="方正仿宋_GBK" w:eastAsia="方正仿宋_GBK"/>
          <w:color w:val="000000"/>
          <w:sz w:val="32"/>
          <w:szCs w:val="32"/>
        </w:rPr>
        <w:t>标识</w:t>
      </w:r>
      <w:r>
        <w:rPr>
          <w:rFonts w:ascii="方正仿宋_GBK" w:eastAsia="方正仿宋_GBK" w:hint="eastAsia"/>
          <w:color w:val="000000"/>
          <w:sz w:val="32"/>
          <w:szCs w:val="32"/>
        </w:rPr>
        <w:t>，事先未经</w:t>
      </w:r>
      <w:r>
        <w:rPr>
          <w:rFonts w:ascii="方正仿宋_GBK" w:eastAsia="方正仿宋_GBK"/>
          <w:color w:val="000000"/>
          <w:sz w:val="32"/>
          <w:szCs w:val="32"/>
        </w:rPr>
        <w:t>著作</w:t>
      </w:r>
      <w:r>
        <w:rPr>
          <w:rFonts w:ascii="方正仿宋_GBK" w:eastAsia="方正仿宋_GBK" w:hint="eastAsia"/>
          <w:color w:val="000000"/>
          <w:sz w:val="32"/>
          <w:szCs w:val="32"/>
        </w:rPr>
        <w:t>权人许可。依照《中华人民共和国商标法》第五十七条第一、二项</w:t>
      </w:r>
      <w:r>
        <w:rPr>
          <w:rFonts w:ascii="方正仿宋_GBK" w:eastAsia="方正仿宋_GBK"/>
          <w:b/>
          <w:color w:val="000000"/>
          <w:sz w:val="32"/>
          <w:szCs w:val="32"/>
        </w:rPr>
        <w:t>、</w:t>
      </w:r>
      <w:r>
        <w:rPr>
          <w:rFonts w:ascii="方正仿宋_GBK" w:eastAsia="方正仿宋_GBK" w:hint="eastAsia"/>
          <w:color w:val="000000"/>
          <w:sz w:val="32"/>
          <w:szCs w:val="32"/>
        </w:rPr>
        <w:t>《中华人民共和国著作权法》第五十三条第一项的规定，该货物属于侵犯他人著作权、商标权的货物。</w:t>
      </w:r>
      <w:r>
        <w:rPr>
          <w:rFonts w:ascii="方正仿宋_GBK" w:eastAsia="方正仿宋_GBK"/>
          <w:color w:val="000000"/>
          <w:sz w:val="32"/>
          <w:szCs w:val="32"/>
        </w:rPr>
        <w:t>当事人</w:t>
      </w:r>
      <w:r>
        <w:rPr>
          <w:rFonts w:ascii="方正仿宋_GBK" w:eastAsia="方正仿宋_GBK" w:hint="eastAsia"/>
          <w:color w:val="000000"/>
          <w:sz w:val="32"/>
          <w:szCs w:val="32"/>
        </w:rPr>
        <w:t>出口上述货物的行为已构成出口侵犯他人著作权、商标权货物的行为。</w:t>
      </w:r>
    </w:p>
    <w:p>
      <w:pPr>
        <w:autoSpaceDN w:val="0"/>
        <w:spacing w:line="560" w:lineRule="exact"/>
        <w:ind w:firstLine="539"/>
        <w:rPr>
          <w:color w:val="000000"/>
          <w:sz w:val="32"/>
          <w:szCs w:val="32"/>
        </w:rPr>
      </w:pPr>
      <w:r>
        <w:rPr>
          <w:rFonts w:eastAsia="方正仿宋_GBK" w:hAnsi="方正仿宋_GBK"/>
          <w:color w:val="000000"/>
          <w:sz w:val="32"/>
          <w:szCs w:val="32"/>
        </w:rPr>
        <w:t>案件办理过程中</w:t>
      </w:r>
      <w:r>
        <w:rPr>
          <w:rFonts w:eastAsia="方正仿宋_GBK"/>
          <w:color w:val="000000"/>
          <w:sz w:val="32"/>
          <w:szCs w:val="32"/>
        </w:rPr>
        <w:t>，当事人配合海关查处出口侵权货物违法行为且认错认罚，具有从轻处罚情节。</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以上事实有海关出口货物报关单证、海关查验记录、权利人权利证明、扣留凭单、当事人陈述、认错认罚声明、工商资料等材料为证。</w:t>
      </w:r>
    </w:p>
    <w:p>
      <w:pPr>
        <w:spacing w:line="560" w:lineRule="exact"/>
        <w:ind w:firstLine="630"/>
        <w:rPr>
          <w:rFonts w:ascii="方正仿宋_GBK" w:eastAsia="方正仿宋_GBK"/>
          <w:color w:val="000000"/>
          <w:sz w:val="32"/>
          <w:szCs w:val="32"/>
        </w:rPr>
      </w:pPr>
      <w:r>
        <w:rPr>
          <w:rFonts w:eastAsia="方正仿宋_GBK" w:hint="eastAsia"/>
          <w:color w:val="000000"/>
          <w:sz w:val="32"/>
          <w:szCs w:val="32"/>
        </w:rPr>
        <w:t>依照《中华人民共和国海关行政处罚实施条例》第二十五条第一款之规定，并按照《中华人民共和国海关行政处罚裁量基准（三）》（海关总署公告</w:t>
      </w:r>
      <w:r>
        <w:rPr>
          <w:rFonts w:eastAsia="方正仿宋_GBK"/>
          <w:color w:val="000000"/>
          <w:sz w:val="32"/>
          <w:szCs w:val="32"/>
        </w:rPr>
        <w:t>2023</w:t>
      </w:r>
      <w:r>
        <w:rPr>
          <w:rFonts w:eastAsia="方正仿宋_GBK" w:hint="eastAsia"/>
          <w:color w:val="000000"/>
          <w:sz w:val="32"/>
          <w:szCs w:val="32"/>
        </w:rPr>
        <w:t>年第</w:t>
      </w:r>
      <w:r>
        <w:rPr>
          <w:rFonts w:eastAsia="方正仿宋_GBK"/>
          <w:color w:val="000000"/>
          <w:sz w:val="32"/>
          <w:szCs w:val="32"/>
        </w:rPr>
        <w:t>198</w:t>
      </w:r>
      <w:r>
        <w:rPr>
          <w:rFonts w:eastAsia="方正仿宋_GBK" w:hint="eastAsia"/>
          <w:color w:val="000000"/>
          <w:sz w:val="32"/>
          <w:szCs w:val="32"/>
        </w:rPr>
        <w:t>号发布）</w:t>
      </w:r>
      <w:r>
        <w:rPr>
          <w:rFonts w:eastAsia="方正仿宋_GBK" w:hAnsi="方正仿宋_GBK"/>
          <w:color w:val="000000"/>
          <w:sz w:val="32"/>
          <w:szCs w:val="32"/>
        </w:rPr>
        <w:t>第十一条第二项、第十三条第二项</w:t>
      </w:r>
      <w:r>
        <w:rPr>
          <w:rFonts w:eastAsia="方正仿宋_GBK" w:hint="eastAsia"/>
          <w:color w:val="000000"/>
          <w:sz w:val="32"/>
          <w:szCs w:val="32"/>
        </w:rPr>
        <w:t>裁量</w:t>
      </w:r>
      <w:r>
        <w:rPr>
          <w:rFonts w:ascii="方正仿宋_GBK" w:eastAsia="方正仿宋_GBK" w:hint="eastAsia"/>
          <w:color w:val="000000"/>
          <w:sz w:val="32"/>
          <w:szCs w:val="32"/>
        </w:rPr>
        <w:t>，决定没收当事人侵权货物（“</w:t>
      </w:r>
      <w:r>
        <w:rPr>
          <w:rFonts w:ascii="方正仿宋_GBK" w:eastAsia="方正仿宋_GBK" w:hint="eastAsia"/>
          <w:color w:val="000000"/>
          <w:sz w:val="32"/>
          <w:szCs w:val="32"/>
        </w:rPr>
        <w:drawing>
          <wp:inline distT="0" distB="0" distL="85723" distR="85723">
            <wp:extent cx="253170" cy="194309"/>
            <wp:effectExtent l="0" t="0" r="0" b="2"/>
            <wp:docPr id="6" name="图片"/>
            <wp:cNvGraphicFramePr>
              <a:graphicFrameLocks noChangeAspect="1"/>
            </wp:cNvGraphicFramePr>
            <a:graphic>
              <a:graphicData uri="http://schemas.openxmlformats.org/drawingml/2006/picture">
                <pic:pic>
                  <pic:nvPicPr>
                    <pic:cNvPr id="7" name="图片 7"/>
                    <pic:cNvPicPr/>
                  </pic:nvPicPr>
                  <pic:blipFill>
                    <a:blip r:embed="rId4"/>
                    <a:stretch>
                      <a:fillRect/>
                    </a:stretch>
                  </pic:blipFill>
                  <pic:spPr>
                    <a:xfrm rot="0">
                      <a:off x="0" y="0"/>
                      <a:ext cx="253170" cy="194309"/>
                    </a:xfrm>
                    <a:prstGeom prst="rect"/>
                    <a:noFill/>
                    <a:ln w="9525" cmpd="sng" cap="flat">
                      <a:noFill/>
                      <a:prstDash val="solid"/>
                      <a:miter/>
                    </a:ln>
                  </pic:spPr>
                </pic:pic>
              </a:graphicData>
            </a:graphic>
          </wp:inline>
        </w:drawing>
      </w:r>
      <w:r>
        <w:rPr>
          <w:rFonts w:ascii="方正仿宋_GBK" w:eastAsia="方正仿宋_GBK" w:hint="eastAsia"/>
          <w:color w:val="000000"/>
          <w:sz w:val="32"/>
          <w:szCs w:val="32"/>
        </w:rPr>
        <w:t>”</w:t>
      </w:r>
      <w:r>
        <w:rPr>
          <w:rFonts w:ascii="方正仿宋_GBK" w:eastAsia="方正仿宋_GBK"/>
          <w:color w:val="000000"/>
          <w:sz w:val="32"/>
          <w:szCs w:val="32"/>
        </w:rPr>
        <w:t>标识</w:t>
      </w:r>
      <w:r>
        <w:rPr>
          <w:rFonts w:ascii="方正仿宋_GBK" w:eastAsia="方正仿宋_GBK" w:hint="eastAsia"/>
          <w:color w:val="000000"/>
          <w:sz w:val="32"/>
          <w:szCs w:val="32"/>
        </w:rPr>
        <w:t>的鞋子6200双、“CONVERSE ALL STAR Chucu Taylor及星图形”商标的鞋子3双、“MLB”商标的鞋子2双、“NIKE及钩图形”商标的鞋子374双、“LOEWE”商标的鞋子1双、“ADIDAS三叶草（图形)”商标的鞋子20双、“N”商标的鞋子（正N）390双、“凯蒂猫(Hello Kitty)”</w:t>
      </w:r>
      <w:r>
        <w:rPr>
          <w:rFonts w:ascii="方正仿宋_GBK" w:eastAsia="方正仿宋_GBK"/>
          <w:color w:val="000000"/>
          <w:sz w:val="32"/>
          <w:szCs w:val="32"/>
        </w:rPr>
        <w:t>标识</w:t>
      </w:r>
      <w:r>
        <w:rPr>
          <w:rFonts w:ascii="方正仿宋_GBK" w:eastAsia="方正仿宋_GBK" w:hint="eastAsia"/>
          <w:color w:val="000000"/>
          <w:sz w:val="32"/>
          <w:szCs w:val="32"/>
        </w:rPr>
        <w:t>的鞋子2双、“PUMA及图形”商标的鞋子30双、“ONITSUKA TIGER”商标的鞋子1双），并处罚款人民币7730元。</w:t>
      </w:r>
    </w:p>
    <w:p>
      <w:pPr>
        <w:pStyle w:val="17"/>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依照《中华人民共和国行政处罚法》第六十六条、第六十七条、第六十九条的规定，当事人应当自本处罚决定书送达之日起十五日内履行上述处罚决定。</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当事人不服本处罚决定的，依照《中华人民共和国行政复议法》第二十条、第二十七条，《中华人民共和国行政诉讼法》第四十六条之规定，可自本处罚决定书送达之日起六十日内向宁波海关申请行政复议，或者自本处罚决定书送达之日起六个月内，直接向宁波市中级人民法院起诉。</w:t>
      </w:r>
    </w:p>
    <w:p>
      <w:pPr>
        <w:pStyle w:val="18"/>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依照《中华人民共和国行政处罚法》第七十二条之规定，到期不缴纳罚款的，每日可以按罚款数额的百分之三加处罚款。</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海关法》第九十三条、《中华人民共和国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pPr>
        <w:spacing w:line="560" w:lineRule="exact"/>
        <w:ind w:firstLine="63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p>
    <w:p>
      <w:pPr>
        <w:pStyle w:val="15"/>
        <w:spacing w:line="560" w:lineRule="exact"/>
        <w:ind w:firstLine="0"/>
        <w:jc w:val="right"/>
        <w:rPr>
          <w:rFonts w:ascii="方正仿宋_GBK" w:eastAsia="方正仿宋_GBK"/>
          <w:color w:val="000000"/>
          <w:sz w:val="32"/>
          <w:szCs w:val="32"/>
        </w:rPr>
      </w:pPr>
      <w:r>
        <w:rPr>
          <w:rFonts w:ascii="方正仿宋_GBK" w:eastAsia="方正仿宋_GBK" w:hint="eastAsia"/>
          <w:color w:val="000000"/>
          <w:sz w:val="32"/>
          <w:szCs w:val="32"/>
        </w:rPr>
        <w:t xml:space="preserve">                                    二○二六年</w:t>
      </w:r>
      <w:r>
        <w:rPr>
          <w:rFonts w:ascii="方正仿宋_GBK" w:eastAsia="方正仿宋_GBK"/>
          <w:color w:val="000000"/>
          <w:sz w:val="32"/>
          <w:szCs w:val="32"/>
        </w:rPr>
        <w:t>十</w:t>
      </w:r>
      <w:r>
        <w:rPr>
          <w:rFonts w:ascii="方正仿宋_GBK" w:eastAsia="方正仿宋_GBK" w:hint="eastAsia"/>
          <w:color w:val="000000"/>
          <w:sz w:val="32"/>
          <w:szCs w:val="32"/>
        </w:rPr>
        <w:t>月</w:t>
      </w:r>
      <w:r>
        <w:rPr>
          <w:rFonts w:ascii="方正仿宋_GBK" w:eastAsia="方正仿宋_GBK"/>
          <w:color w:val="000000"/>
          <w:sz w:val="32"/>
          <w:szCs w:val="32"/>
        </w:rPr>
        <w:t>十二</w:t>
      </w:r>
      <w:bookmarkStart w:id="0" w:name="_GoBack"/>
      <w:bookmarkEnd w:id="0"/>
      <w:r>
        <w:rPr>
          <w:rFonts w:ascii="方正仿宋_GBK" w:eastAsia="方正仿宋_GBK" w:hint="eastAsia"/>
          <w:color w:val="000000"/>
          <w:sz w:val="32"/>
          <w:szCs w:val="32"/>
        </w:rPr>
        <w:t>日</w:t>
      </w:r>
    </w:p>
    <w:p>
      <w:pPr>
        <w:spacing w:line="560" w:lineRule="exact"/>
        <w:rPr>
          <w:color w:val="000000"/>
          <w:sz w:val="32"/>
          <w:szCs w:val="32"/>
        </w:rPr>
      </w:pPr>
    </w:p>
    <w:p>
      <w:pPr>
        <w:spacing w:line="560" w:lineRule="exact"/>
        <w:rPr>
          <w:color w:val="000000"/>
          <w:sz w:val="32"/>
          <w:szCs w:val="32"/>
        </w:rPr>
      </w:pPr>
    </w:p>
    <w:sectPr>
      <w:pgSz w:w="11906" w:h="16838"/>
      <w:pgMar w:top="1246" w:right="1286" w:bottom="1246" w:left="144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Lucida Sans">
    <w:altName w:val="DejaVu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方正黑体_GBK"/>
    <w:panose1 w:val="02010609060101010101"/>
    <w:charset w:val="86"/>
    <w:family w:val="modern"/>
    <w:pitch w:val="variable"/>
    <w:sig w:usb0="00000001" w:usb1="080E0000" w:usb2="00000010" w:usb3="00000000" w:csb0="00040000" w:csb1="00000000"/>
  </w:font>
  <w:font w:name="仿宋_GB2312">
    <w:altName w:val="方正仿宋_GBK"/>
    <w:panose1 w:val="00000000000000000000"/>
    <w:charset w:val="86"/>
    <w:family w:val="modern"/>
    <w:pitch w:val="variable"/>
    <w:sig w:usb0="00000000" w:usb1="080E0000" w:usb2="0000001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0"/>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eastAsia="黑体"/>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Indent"/>
    <w:basedOn w:val="0"/>
    <w:pPr>
      <w:ind w:firstLine="570"/>
    </w:pPr>
    <w:rPr>
      <w:rFonts w:ascii="仿宋_GB2312" w:eastAsia="仿宋_GB2312"/>
      <w:sz w:val="30"/>
    </w:rPr>
  </w:style>
  <w:style w:type="paragraph" w:customStyle="1" w:styleId="16">
    <w:name w:val="样式 10 磅"/>
    <w:pPr>
      <w:widowControl w:val="0"/>
      <w:jc w:val="both"/>
    </w:pPr>
    <w:rPr>
      <w:rFonts w:ascii="Times New Roman" w:eastAsia="宋体" w:cs="Times New Roman" w:hAnsi="Times New Roman"/>
      <w:kern w:val="2"/>
      <w:sz w:val="21"/>
      <w:szCs w:val="20"/>
      <w:lang w:val="en-US" w:eastAsia="zh-CN" w:bidi="ar-SA"/>
    </w:rPr>
  </w:style>
  <w:style w:type="paragraph" w:customStyle="1" w:styleId="17">
    <w:name w:val="样式 1 10 磅"/>
    <w:pPr>
      <w:widowControl w:val="0"/>
      <w:jc w:val="both"/>
    </w:pPr>
    <w:rPr>
      <w:rFonts w:ascii="Times New Roman" w:eastAsia="宋体" w:cs="Times New Roman" w:hAnsi="Times New Roman"/>
      <w:kern w:val="2"/>
      <w:sz w:val="21"/>
      <w:szCs w:val="20"/>
      <w:lang w:val="en-US" w:eastAsia="zh-CN" w:bidi="ar-SA"/>
    </w:rPr>
  </w:style>
  <w:style w:type="paragraph" w:customStyle="1" w:styleId="18">
    <w:name w:val="样式 2 10 磅"/>
    <w:pPr>
      <w:widowControl w:val="0"/>
      <w:jc w:val="both"/>
    </w:pPr>
    <w:rPr>
      <w:rFonts w:ascii="Times New Roman" w:eastAsia="宋体" w:cs="Times New Roman" w:hAnsi="Times New Roman"/>
      <w:kern w:val="2"/>
      <w:sz w:val="21"/>
      <w:szCs w:val="20"/>
      <w:lang w:val="en-US" w:eastAsia="zh-CN" w:bidi="ar-SA"/>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footer"/>
    <w:basedOn w:val="0"/>
    <w:pPr>
      <w:tabs>
        <w:tab w:val="center" w:pos="4153"/>
        <w:tab w:val="right" w:pos="8306"/>
      </w:tabs>
      <w:snapToGrid w:val="0"/>
      <w:jc w:val="left"/>
    </w:pPr>
    <w:rPr>
      <w:sz w:val="18"/>
      <w:szCs w:val="18"/>
    </w:rPr>
  </w:style>
  <w:style w:type="paragraph" w:styleId="21">
    <w:name w:val="Balloon Text"/>
    <w:basedOn w:val="0"/>
    <w:rPr>
      <w:sz w:val="18"/>
      <w:szCs w:val="18"/>
    </w:rPr>
  </w:style>
  <w:style w:type="paragraph" w:customStyle="1" w:styleId="22">
    <w:name w:val="样式 3 10 磅"/>
    <w:pPr>
      <w:widowControl w:val="0"/>
      <w:jc w:val="both"/>
    </w:pPr>
    <w:rPr>
      <w:rFonts w:ascii="Times New Roman" w:eastAsia="宋体" w:cs="Times New Roman" w:hAnsi="Times New Roman"/>
      <w:kern w:val="2"/>
      <w:sz w:val="21"/>
      <w:szCs w:val="20"/>
      <w:lang w:val="en-US" w:eastAsia="zh-CN" w:bidi="ar-SA"/>
    </w:rPr>
  </w:style>
  <w:style w:type="paragraph" w:customStyle="1" w:styleId="23">
    <w:name w:val="样式 4 10 磅"/>
    <w:pPr>
      <w:widowControl w:val="0"/>
      <w:jc w:val="both"/>
    </w:pPr>
    <w:rPr>
      <w:rFonts w:ascii="Times New Roman" w:eastAsia="宋体" w:cs="Times New Roman" w:hAnsi="Times New Roman"/>
      <w:kern w:val="2"/>
      <w:sz w:val="21"/>
      <w:szCs w:val="20"/>
      <w:lang w:val="en-US" w:eastAsia="zh-CN" w:bidi="ar-SA"/>
    </w:rPr>
  </w:style>
  <w:style w:type="paragraph" w:customStyle="1" w:styleId="24">
    <w:name w:val="样式 5 10 磅"/>
    <w:pPr>
      <w:widowControl w:val="0"/>
      <w:jc w:val="both"/>
    </w:pPr>
    <w:rPr>
      <w:rFonts w:ascii="Times New Roman" w:eastAsia="宋体" w:cs="Times New Roman" w:hAnsi="Times New Roman"/>
      <w:kern w:val="2"/>
      <w:sz w:val="21"/>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image" Target="media/2.png"/><Relationship Id="rId4" Type="http://schemas.openxmlformats.org/officeDocument/2006/relationships/image" Target="media/2.png"/><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2C9BF232-D02F-41B4-814C-511CFCA5CA1C}">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120</TotalTime>
  <Application>Yozo_Office27021597764231179</Application>
  <Pages>3</Pages>
  <Words>0</Words>
  <Characters>1575</Characters>
  <Lines>0</Lines>
  <Paragraphs>24</Paragraphs>
  <CharactersWithSpaces>2100</CharactersWithSpaces>
  <Company>NBC</Company>
</Properties>
</file>

<file path=docProps/core.xml><?xml version="1.0" encoding="utf-8"?>
<cp:coreProperties xmlns:cp="http://schemas.openxmlformats.org/package/2006/metadata/core-properties" xmlns:dc="http://purl.org/dc/elements/1.1/" xmlns:dcterms="http://purl.org/dc/terms/" xmlns:xsi="http://www.w3.org/2001/XMLSchema-instance">
  <dc:creator>mjl</dc:creator>
  <cp:lastModifiedBy>user</cp:lastModifiedBy>
  <cp:revision>20</cp:revision>
  <dcterms:created xsi:type="dcterms:W3CDTF">2024-03-18T01:59:00Z</dcterms:created>
  <dcterms:modified xsi:type="dcterms:W3CDTF">2026-10-12T04:54:57Z</dcterms:modified>
</cp:coreProperties>
</file>